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49" w:rsidRPr="00795449" w:rsidRDefault="00795449" w:rsidP="00795449">
      <w:pPr>
        <w:jc w:val="center"/>
        <w:rPr>
          <w:b/>
          <w:u w:val="single"/>
        </w:rPr>
      </w:pPr>
      <w:r w:rsidRPr="00795449">
        <w:rPr>
          <w:b/>
          <w:u w:val="single"/>
        </w:rPr>
        <w:t>Advisory Board Profile (for registration on Advisory Board NZ website)</w:t>
      </w:r>
    </w:p>
    <w:p w:rsidR="00795449" w:rsidRDefault="00795449"/>
    <w:p w:rsidR="00795449" w:rsidRDefault="007954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761"/>
      </w:tblGrid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Name: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208D7">
            <w:pPr>
              <w:rPr>
                <w:rFonts w:cs="Arial"/>
              </w:rPr>
            </w:pPr>
            <w:r>
              <w:rPr>
                <w:rFonts w:cs="Arial"/>
              </w:rPr>
              <w:t>Anthony Grayson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Email Address: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9755A8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1208D7">
              <w:rPr>
                <w:rFonts w:cs="Arial"/>
              </w:rPr>
              <w:t>nthony.grayson@crowehorwath.co.nz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BD7010">
            <w:pPr>
              <w:jc w:val="left"/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Preferred contact no.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208D7">
            <w:pPr>
              <w:rPr>
                <w:rFonts w:cs="Arial"/>
              </w:rPr>
            </w:pPr>
            <w:r>
              <w:rPr>
                <w:rFonts w:cs="Arial"/>
              </w:rPr>
              <w:t>+64 29 2227777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Postal Address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208D7">
            <w:pPr>
              <w:rPr>
                <w:rFonts w:cs="Arial"/>
              </w:rPr>
            </w:pPr>
            <w:r>
              <w:rPr>
                <w:rFonts w:cs="Arial"/>
              </w:rPr>
              <w:t>Level 29, 188 Quay St, Auckland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Location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795449" w:rsidRDefault="001208D7">
            <w:pPr>
              <w:rPr>
                <w:rFonts w:cs="Arial"/>
              </w:rPr>
            </w:pPr>
            <w:r>
              <w:rPr>
                <w:rFonts w:cs="Arial"/>
              </w:rPr>
              <w:t>Auckland 1010</w:t>
            </w:r>
          </w:p>
        </w:tc>
      </w:tr>
      <w:tr w:rsidR="00795449" w:rsidTr="00795449">
        <w:tc>
          <w:tcPr>
            <w:tcW w:w="2093" w:type="dxa"/>
          </w:tcPr>
          <w:p w:rsidR="00795449" w:rsidRPr="007E43EC" w:rsidRDefault="00795449" w:rsidP="00795449">
            <w:pPr>
              <w:rPr>
                <w:rFonts w:cs="Arial"/>
                <w:b/>
              </w:rPr>
            </w:pPr>
            <w:r w:rsidRPr="007E43EC">
              <w:rPr>
                <w:rFonts w:cs="Arial"/>
                <w:b/>
              </w:rPr>
              <w:t>Professional Profile</w:t>
            </w:r>
          </w:p>
          <w:p w:rsidR="00795449" w:rsidRPr="007E43EC" w:rsidRDefault="00795449">
            <w:pPr>
              <w:rPr>
                <w:rFonts w:cs="Arial"/>
                <w:b/>
              </w:rPr>
            </w:pPr>
          </w:p>
        </w:tc>
        <w:tc>
          <w:tcPr>
            <w:tcW w:w="7761" w:type="dxa"/>
          </w:tcPr>
          <w:p w:rsidR="00137F9E" w:rsidRDefault="00F22D9C" w:rsidP="00795449">
            <w:pPr>
              <w:spacing w:before="100" w:beforeAutospacing="1" w:after="100" w:afterAutospacing="1"/>
              <w:jc w:val="left"/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</w:pPr>
            <w:bookmarkStart w:id="0" w:name="_GoBack"/>
            <w:bookmarkEnd w:id="0"/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Numerous businesses have relied on </w:t>
            </w:r>
            <w:r w:rsidR="001208D7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Ant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to </w:t>
            </w: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help them 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become established, and </w:t>
            </w: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to 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build the systems, processes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</w:t>
            </w:r>
            <w:r w:rsidR="00B045D2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and </w:t>
            </w: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core management </w:t>
            </w:r>
            <w:r w:rsid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and business capabilities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required to be successful.  </w:t>
            </w:r>
          </w:p>
          <w:p w:rsidR="00137F9E" w:rsidRDefault="001208D7" w:rsidP="00137F9E">
            <w:pPr>
              <w:spacing w:before="100" w:beforeAutospacing="1" w:after="100" w:afterAutospacing="1"/>
              <w:jc w:val="left"/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</w:pP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Ant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has worked with businesses</w:t>
            </w: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across all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industry sectors.  </w:t>
            </w:r>
            <w:r w:rsidR="00F22D9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This means </w:t>
            </w:r>
            <w:r w:rsid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h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e </w:t>
            </w:r>
            <w:r w:rsidR="00F22D9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has learnt </w:t>
            </w:r>
            <w:r w:rsid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which</w:t>
            </w:r>
            <w:r w:rsidR="00F22D9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strategies work and </w:t>
            </w:r>
            <w:r w:rsid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which ones </w:t>
            </w:r>
            <w:r w:rsidR="00F22D9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don’t</w:t>
            </w:r>
            <w:r w:rsid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.  He </w:t>
            </w:r>
            <w:r w:rsidR="00F22D9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can apply th</w:t>
            </w: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is</w:t>
            </w:r>
            <w:r w:rsid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</w:t>
            </w:r>
            <w:r w:rsidR="00F22D9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knowledge to help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</w:t>
            </w:r>
            <w:r w:rsid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you 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manage the challenges of </w:t>
            </w:r>
            <w:r w:rsidR="00F22D9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growth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such as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finding shareholders</w:t>
            </w:r>
            <w:r w:rsidR="00F22D9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,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investors, 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and other finance</w:t>
            </w: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partners. He can help with 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business planning, 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and getting the right systems, processes and people to manage 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start-up, growth and succession.</w:t>
            </w:r>
          </w:p>
          <w:p w:rsidR="007E43EC" w:rsidRDefault="001208D7" w:rsidP="007E43EC">
            <w:pPr>
              <w:spacing w:before="100" w:beforeAutospacing="1" w:after="100" w:afterAutospacing="1"/>
              <w:jc w:val="left"/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</w:pP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Ant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is 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part of </w:t>
            </w:r>
            <w:r w:rsidR="00BD701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Crowe Horwath, 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NZ’s leading small to medium sized (SME) business advisory organisation.  This gives you access to 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business 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tools, capabilities and experience NZ </w:t>
            </w:r>
            <w:r w:rsidR="00BD701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designed specifically to support </w:t>
            </w:r>
            <w:r w:rsid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SME </w:t>
            </w:r>
            <w:r w:rsidR="00BD701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businesses, saving</w:t>
            </w:r>
            <w:r w:rsid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you time and money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. </w:t>
            </w:r>
          </w:p>
          <w:p w:rsidR="007E43EC" w:rsidRPr="007E43EC" w:rsidRDefault="00BD7010" w:rsidP="007E43EC">
            <w:pPr>
              <w:spacing w:before="100" w:beforeAutospacing="1" w:after="100" w:afterAutospacing="1"/>
              <w:jc w:val="left"/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</w:pP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Every high performing business nee</w:t>
            </w:r>
            <w:r w:rsidR="007E43EC" w:rsidRP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ds a strong </w:t>
            </w:r>
            <w:r w:rsidR="001208D7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Mentor/Advisor. Ant</w:t>
            </w:r>
            <w:r w:rsid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can </w:t>
            </w:r>
            <w:r w:rsidR="007E43EC" w:rsidRP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provide these skillsets within 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an Advisory Board structure, or</w:t>
            </w:r>
            <w:r w:rsidR="001208D7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he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can </w:t>
            </w:r>
            <w:r w:rsidR="001208D7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access 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support </w:t>
            </w:r>
            <w:r w:rsidR="001208D7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for 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your finance team or provide specialist financial advice as required. </w:t>
            </w:r>
            <w:r w:rsidR="001208D7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He</w:t>
            </w: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can also connect you with </w:t>
            </w:r>
            <w:r w:rsidR="007E43EC" w:rsidRP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specialist 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skillsets</w:t>
            </w:r>
            <w:r w:rsidR="007E43EC" w:rsidRP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in areas such as strategy, human resource management,</w:t>
            </w:r>
            <w:r w:rsidR="001208D7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risk m</w:t>
            </w:r>
            <w:r w:rsidR="007E43EC" w:rsidRP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anagement</w:t>
            </w:r>
            <w:r w:rsid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, 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systems</w:t>
            </w:r>
            <w:r w:rsidR="001208D7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and processes</w:t>
            </w:r>
            <w:r w:rsidR="007E43EC" w:rsidRP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etc.</w:t>
            </w:r>
          </w:p>
          <w:p w:rsidR="0017272F" w:rsidRDefault="001208D7" w:rsidP="00137F9E">
            <w:pPr>
              <w:spacing w:before="100" w:beforeAutospacing="1" w:after="100" w:afterAutospacing="1"/>
              <w:jc w:val="left"/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</w:pP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Crowe Horwath </w:t>
            </w:r>
            <w:r w:rsidR="00BD701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also work 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with the NZTE voucher subsidy scheme to offer subsidised support</w:t>
            </w:r>
            <w:r w:rsid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to selected business sectors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.  </w:t>
            </w:r>
          </w:p>
          <w:p w:rsidR="007E43EC" w:rsidRDefault="007E43EC" w:rsidP="00137F9E">
            <w:pPr>
              <w:spacing w:before="100" w:beforeAutospacing="1" w:after="100" w:afterAutospacing="1"/>
              <w:jc w:val="left"/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</w:pP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The</w:t>
            </w:r>
            <w:r w:rsidR="001208D7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support covers:</w:t>
            </w:r>
            <w:r w:rsidR="00B045D2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br/>
              <w:t>Strategic analys</w:t>
            </w:r>
            <w:r w:rsidR="001208D7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is</w:t>
            </w:r>
            <w:r w:rsidR="00B045D2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br/>
              <w:t>Business planning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br/>
              <w:t>Ability to stand back and evaluate options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br/>
              <w:t xml:space="preserve">Financial </w:t>
            </w:r>
            <w:r w:rsidR="00032E93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and </w:t>
            </w:r>
            <w:r w:rsidR="00137F9E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ana</w:t>
            </w: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lytical skills</w:t>
            </w: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br/>
              <w:t>Tax expertise.</w:t>
            </w:r>
          </w:p>
          <w:p w:rsidR="00F22D9C" w:rsidRDefault="00BD7010" w:rsidP="00032E93">
            <w:pPr>
              <w:spacing w:before="100" w:beforeAutospacing="1" w:after="100" w:afterAutospacing="1"/>
              <w:jc w:val="left"/>
              <w:rPr>
                <w:rFonts w:cs="Arial"/>
              </w:rPr>
            </w:pP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Crowe Horwath has</w:t>
            </w:r>
            <w:r w:rsidR="00F22D9C" w:rsidRP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24 offices throughout NZ and experienced </w:t>
            </w:r>
            <w:r w:rsidR="00032E93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A</w:t>
            </w:r>
            <w:r w:rsidR="00F22D9C" w:rsidRPr="007E43EC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dvisors in every one of them.  </w:t>
            </w: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If you can’t find a Crowe Horwath </w:t>
            </w:r>
            <w:r w:rsidR="00032E93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A</w:t>
            </w: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dviser on this list, please contact any listed here and they will refer you to the right place.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Roles</w:t>
            </w:r>
          </w:p>
        </w:tc>
        <w:tc>
          <w:tcPr>
            <w:tcW w:w="7761" w:type="dxa"/>
          </w:tcPr>
          <w:p w:rsidR="00795449" w:rsidRDefault="006869E4" w:rsidP="00032E93">
            <w:pPr>
              <w:rPr>
                <w:rFonts w:cs="Arial"/>
              </w:rPr>
            </w:pP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Ant has been a </w:t>
            </w:r>
            <w:r w:rsidR="002222B0" w:rsidRP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Financial </w:t>
            </w:r>
            <w:r w:rsidR="00032E93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A</w:t>
            </w:r>
            <w:r w:rsidR="002222B0" w:rsidRP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dviser to</w:t>
            </w:r>
            <w:r w:rsidR="00032E93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Private and Publicly listed Companies operating in all sectors of the NZ economy.- References available on request  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Organisations</w:t>
            </w:r>
          </w:p>
        </w:tc>
        <w:tc>
          <w:tcPr>
            <w:tcW w:w="7761" w:type="dxa"/>
          </w:tcPr>
          <w:p w:rsidR="00795449" w:rsidRPr="002222B0" w:rsidRDefault="00032E93" w:rsidP="002222B0">
            <w:pPr>
              <w:spacing w:before="100" w:beforeAutospacing="1" w:after="100" w:afterAutospacing="1"/>
              <w:jc w:val="left"/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</w:pP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Ant</w:t>
            </w:r>
            <w:r w:rsidR="002222B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has worked with several clients who have been recognised as the fastest growing NZ companies in their region.   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>Key skills</w:t>
            </w:r>
          </w:p>
        </w:tc>
        <w:tc>
          <w:tcPr>
            <w:tcW w:w="7761" w:type="dxa"/>
          </w:tcPr>
          <w:p w:rsidR="00795449" w:rsidRDefault="00032E93" w:rsidP="00032E93">
            <w:pPr>
              <w:rPr>
                <w:rFonts w:cs="Arial"/>
              </w:rPr>
            </w:pP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General Management, Strategy, Funding, </w:t>
            </w:r>
            <w:r w:rsidR="008751D0" w:rsidRPr="008751D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Business succession,</w:t>
            </w: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Risk Management,</w:t>
            </w:r>
            <w:r w:rsidR="008751D0" w:rsidRPr="008751D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D</w:t>
            </w:r>
            <w:r w:rsidR="008751D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irectorships, </w:t>
            </w:r>
          </w:p>
        </w:tc>
      </w:tr>
      <w:tr w:rsidR="00795449" w:rsidTr="00795449">
        <w:tc>
          <w:tcPr>
            <w:tcW w:w="2093" w:type="dxa"/>
          </w:tcPr>
          <w:p w:rsidR="00795449" w:rsidRDefault="00795449" w:rsidP="00795449">
            <w:pPr>
              <w:rPr>
                <w:rFonts w:cs="Arial"/>
              </w:rPr>
            </w:pPr>
            <w:r>
              <w:rPr>
                <w:rFonts w:cs="Arial"/>
              </w:rPr>
              <w:t xml:space="preserve">Industry experience </w:t>
            </w:r>
          </w:p>
        </w:tc>
        <w:tc>
          <w:tcPr>
            <w:tcW w:w="7761" w:type="dxa"/>
          </w:tcPr>
          <w:p w:rsidR="00795449" w:rsidRDefault="008751D0" w:rsidP="00032E93">
            <w:pPr>
              <w:rPr>
                <w:rFonts w:cs="Arial"/>
              </w:rPr>
            </w:pPr>
            <w:r w:rsidRPr="008751D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</w:t>
            </w:r>
            <w:r w:rsidR="00032E93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Agriculture, </w:t>
            </w:r>
            <w:r w:rsidRPr="008751D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Construction, </w:t>
            </w:r>
            <w:r w:rsidR="00032E93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Pharmaceutical, Property, Infrastructure, Retail</w:t>
            </w:r>
            <w:r w:rsidRPr="008751D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 xml:space="preserve"> etc.</w:t>
            </w:r>
          </w:p>
        </w:tc>
      </w:tr>
    </w:tbl>
    <w:p w:rsidR="002059E0" w:rsidRPr="0017272F" w:rsidRDefault="002059E0">
      <w:pPr>
        <w:rPr>
          <w:rFonts w:cs="Arial"/>
          <w:u w:val="single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Current Employment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Company</w:t>
            </w:r>
          </w:p>
        </w:tc>
        <w:tc>
          <w:tcPr>
            <w:tcW w:w="7194" w:type="dxa"/>
          </w:tcPr>
          <w:p w:rsidR="0017272F" w:rsidRPr="008751D0" w:rsidRDefault="007E43EC">
            <w:pP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</w:pPr>
            <w:r w:rsidRPr="008751D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Crowe Horwath (e.g. Christchurch)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Current Position</w:t>
            </w:r>
          </w:p>
        </w:tc>
        <w:tc>
          <w:tcPr>
            <w:tcW w:w="7194" w:type="dxa"/>
          </w:tcPr>
          <w:p w:rsidR="0017272F" w:rsidRPr="008751D0" w:rsidRDefault="007E43EC">
            <w:pPr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</w:pPr>
            <w:r w:rsidRPr="008751D0">
              <w:rPr>
                <w:rFonts w:ascii="Helvetica" w:eastAsia="Times New Roman" w:hAnsi="Helvetica" w:cs="Helvetica"/>
                <w:color w:val="5C6B80"/>
                <w:sz w:val="24"/>
                <w:szCs w:val="24"/>
                <w:lang w:eastAsia="en-NZ"/>
              </w:rPr>
              <w:t>Principal</w:t>
            </w: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Time in this position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</w:tbl>
    <w:p w:rsidR="0017272F" w:rsidRDefault="0017272F">
      <w:pPr>
        <w:rPr>
          <w:rFonts w:cs="Arial"/>
        </w:rPr>
      </w:pPr>
    </w:p>
    <w:p w:rsidR="0017272F" w:rsidRP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Contact information</w:t>
      </w:r>
    </w:p>
    <w:p w:rsidR="0017272F" w:rsidRDefault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1</w:t>
            </w:r>
          </w:p>
        </w:tc>
        <w:tc>
          <w:tcPr>
            <w:tcW w:w="7194" w:type="dxa"/>
          </w:tcPr>
          <w:p w:rsidR="0017272F" w:rsidRDefault="00120ABD">
            <w:pPr>
              <w:rPr>
                <w:rFonts w:cs="Arial"/>
              </w:rPr>
            </w:pPr>
            <w:hyperlink r:id="rId6" w:history="1">
              <w:r w:rsidR="008751D0" w:rsidRPr="00F90635">
                <w:rPr>
                  <w:rStyle w:val="Hyperlink"/>
                  <w:rFonts w:cs="Arial"/>
                </w:rPr>
                <w:t>www.crowehorwath.co.nz</w:t>
              </w:r>
            </w:hyperlink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Website 2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Skype ID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  <w:tr w:rsidR="0017272F" w:rsidTr="00BD7010">
        <w:tc>
          <w:tcPr>
            <w:tcW w:w="2660" w:type="dxa"/>
          </w:tcPr>
          <w:p w:rsidR="0017272F" w:rsidRDefault="0017272F">
            <w:pPr>
              <w:rPr>
                <w:rFonts w:cs="Arial"/>
              </w:rPr>
            </w:pPr>
            <w:r>
              <w:rPr>
                <w:rFonts w:cs="Arial"/>
              </w:rPr>
              <w:t>LinkedIn</w:t>
            </w:r>
          </w:p>
        </w:tc>
        <w:tc>
          <w:tcPr>
            <w:tcW w:w="7194" w:type="dxa"/>
          </w:tcPr>
          <w:p w:rsidR="0017272F" w:rsidRDefault="0017272F">
            <w:pPr>
              <w:rPr>
                <w:rFonts w:cs="Arial"/>
              </w:rPr>
            </w:pPr>
          </w:p>
        </w:tc>
      </w:tr>
    </w:tbl>
    <w:p w:rsidR="0017272F" w:rsidRDefault="0017272F">
      <w:pPr>
        <w:rPr>
          <w:rFonts w:cs="Arial"/>
        </w:rPr>
      </w:pPr>
    </w:p>
    <w:p w:rsidR="0017272F" w:rsidRDefault="0017272F">
      <w:pPr>
        <w:rPr>
          <w:rFonts w:cs="Arial"/>
          <w:b/>
          <w:u w:val="single"/>
        </w:rPr>
      </w:pPr>
      <w:r w:rsidRPr="0017272F">
        <w:rPr>
          <w:rFonts w:cs="Arial"/>
          <w:b/>
          <w:u w:val="single"/>
        </w:rPr>
        <w:t>Qualifications and Education</w:t>
      </w:r>
    </w:p>
    <w:p w:rsidR="0017272F" w:rsidRDefault="0017272F" w:rsidP="001727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7272F" w:rsidTr="0007581F">
        <w:tc>
          <w:tcPr>
            <w:tcW w:w="4927" w:type="dxa"/>
          </w:tcPr>
          <w:p w:rsidR="0017272F" w:rsidRDefault="0017272F" w:rsidP="0017272F">
            <w:pPr>
              <w:rPr>
                <w:rFonts w:cs="Arial"/>
              </w:rPr>
            </w:pPr>
            <w:r>
              <w:rPr>
                <w:rFonts w:cs="Arial"/>
              </w:rPr>
              <w:t>Facility</w:t>
            </w:r>
          </w:p>
        </w:tc>
        <w:tc>
          <w:tcPr>
            <w:tcW w:w="4927" w:type="dxa"/>
          </w:tcPr>
          <w:p w:rsidR="0017272F" w:rsidRDefault="00972849" w:rsidP="0007581F">
            <w:pPr>
              <w:rPr>
                <w:rFonts w:cs="Arial"/>
              </w:rPr>
            </w:pPr>
            <w:r>
              <w:rPr>
                <w:rFonts w:cs="Arial"/>
              </w:rPr>
              <w:t>Massey University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1</w:t>
            </w:r>
          </w:p>
        </w:tc>
        <w:tc>
          <w:tcPr>
            <w:tcW w:w="4927" w:type="dxa"/>
          </w:tcPr>
          <w:p w:rsidR="0017272F" w:rsidRDefault="00972849" w:rsidP="0007581F">
            <w:pPr>
              <w:rPr>
                <w:rFonts w:cs="Arial"/>
              </w:rPr>
            </w:pPr>
            <w:r>
              <w:rPr>
                <w:rFonts w:cs="Arial"/>
              </w:rPr>
              <w:t>Bachelor of Business Studies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2</w:t>
            </w:r>
          </w:p>
        </w:tc>
        <w:tc>
          <w:tcPr>
            <w:tcW w:w="4927" w:type="dxa"/>
          </w:tcPr>
          <w:p w:rsidR="0017272F" w:rsidRDefault="00972849" w:rsidP="0007581F">
            <w:pPr>
              <w:rPr>
                <w:rFonts w:cs="Arial"/>
              </w:rPr>
            </w:pPr>
            <w:r>
              <w:rPr>
                <w:rFonts w:cs="Arial"/>
              </w:rPr>
              <w:t>Institute of Directors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2</w:t>
            </w:r>
          </w:p>
        </w:tc>
        <w:tc>
          <w:tcPr>
            <w:tcW w:w="4927" w:type="dxa"/>
          </w:tcPr>
          <w:p w:rsidR="0017272F" w:rsidRDefault="00972849" w:rsidP="0007581F">
            <w:pPr>
              <w:rPr>
                <w:rFonts w:cs="Arial"/>
              </w:rPr>
            </w:pPr>
            <w:r>
              <w:rPr>
                <w:rFonts w:cs="Arial"/>
              </w:rPr>
              <w:t>Directors Certificate</w:t>
            </w:r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Facility 3</w:t>
            </w:r>
          </w:p>
        </w:tc>
        <w:tc>
          <w:tcPr>
            <w:tcW w:w="4927" w:type="dxa"/>
          </w:tcPr>
          <w:p w:rsidR="0017272F" w:rsidRDefault="006869E4" w:rsidP="0007581F">
            <w:pPr>
              <w:rPr>
                <w:rFonts w:cs="Arial"/>
              </w:rPr>
            </w:pPr>
            <w:r>
              <w:rPr>
                <w:rFonts w:cs="Arial"/>
              </w:rPr>
              <w:t xml:space="preserve">Human </w:t>
            </w:r>
            <w:proofErr w:type="spellStart"/>
            <w:r>
              <w:rPr>
                <w:rFonts w:cs="Arial"/>
              </w:rPr>
              <w:t>Synergistics</w:t>
            </w:r>
            <w:proofErr w:type="spellEnd"/>
          </w:p>
        </w:tc>
      </w:tr>
      <w:tr w:rsidR="0017272F" w:rsidTr="0007581F">
        <w:tc>
          <w:tcPr>
            <w:tcW w:w="4927" w:type="dxa"/>
          </w:tcPr>
          <w:p w:rsidR="0017272F" w:rsidRDefault="0017272F" w:rsidP="0007581F">
            <w:pPr>
              <w:rPr>
                <w:rFonts w:cs="Arial"/>
              </w:rPr>
            </w:pPr>
            <w:r>
              <w:rPr>
                <w:rFonts w:cs="Arial"/>
              </w:rPr>
              <w:t>Qualifications gained 3</w:t>
            </w:r>
          </w:p>
        </w:tc>
        <w:tc>
          <w:tcPr>
            <w:tcW w:w="4927" w:type="dxa"/>
          </w:tcPr>
          <w:p w:rsidR="0017272F" w:rsidRDefault="006869E4" w:rsidP="0007581F">
            <w:pPr>
              <w:rPr>
                <w:rFonts w:cs="Arial"/>
              </w:rPr>
            </w:pPr>
            <w:r>
              <w:rPr>
                <w:rFonts w:cs="Arial"/>
              </w:rPr>
              <w:t>Culture Coach</w:t>
            </w:r>
          </w:p>
        </w:tc>
      </w:tr>
    </w:tbl>
    <w:p w:rsidR="0017272F" w:rsidRPr="0017272F" w:rsidRDefault="0017272F">
      <w:pPr>
        <w:rPr>
          <w:rFonts w:cs="Arial"/>
          <w:b/>
          <w:u w:val="single"/>
        </w:rPr>
      </w:pPr>
    </w:p>
    <w:sectPr w:rsidR="0017272F" w:rsidRPr="0017272F" w:rsidSect="00667663">
      <w:pgSz w:w="11906" w:h="16838" w:code="9"/>
      <w:pgMar w:top="170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61"/>
    <w:rsid w:val="00032E93"/>
    <w:rsid w:val="001208D7"/>
    <w:rsid w:val="00120ABD"/>
    <w:rsid w:val="00137F9E"/>
    <w:rsid w:val="0017272F"/>
    <w:rsid w:val="001D12EB"/>
    <w:rsid w:val="002059E0"/>
    <w:rsid w:val="002222B0"/>
    <w:rsid w:val="00270681"/>
    <w:rsid w:val="00334C5A"/>
    <w:rsid w:val="004875E8"/>
    <w:rsid w:val="00667663"/>
    <w:rsid w:val="006869E4"/>
    <w:rsid w:val="00795449"/>
    <w:rsid w:val="007E43EC"/>
    <w:rsid w:val="00811FD3"/>
    <w:rsid w:val="008751D0"/>
    <w:rsid w:val="00972849"/>
    <w:rsid w:val="009755A8"/>
    <w:rsid w:val="00AF23D9"/>
    <w:rsid w:val="00B045D2"/>
    <w:rsid w:val="00B0536C"/>
    <w:rsid w:val="00B37992"/>
    <w:rsid w:val="00BD7010"/>
    <w:rsid w:val="00C20761"/>
    <w:rsid w:val="00F2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076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795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wehorwath.co.n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12FC-30BD-4F68-A23B-45623DCB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Datacom Systems Victoria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McElroy</dc:creator>
  <cp:lastModifiedBy>Anthony Grayson</cp:lastModifiedBy>
  <cp:revision>2</cp:revision>
  <dcterms:created xsi:type="dcterms:W3CDTF">2015-04-15T01:36:00Z</dcterms:created>
  <dcterms:modified xsi:type="dcterms:W3CDTF">2015-04-15T01:36:00Z</dcterms:modified>
</cp:coreProperties>
</file>