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795449" w:rsidRDefault="00795449" w:rsidP="00795449">
      <w:pPr>
        <w:jc w:val="center"/>
        <w:rPr>
          <w:b/>
          <w:u w:val="single"/>
        </w:rPr>
      </w:pPr>
      <w:bookmarkStart w:id="0" w:name="_GoBack"/>
      <w:bookmarkEnd w:id="0"/>
      <w:r w:rsidRPr="00795449">
        <w:rPr>
          <w:b/>
          <w:u w:val="single"/>
        </w:rPr>
        <w:t>Advisory Board Profile (for registration on Advisory Board NZ website)</w:t>
      </w:r>
    </w:p>
    <w:p w:rsidR="00795449" w:rsidRDefault="00795449"/>
    <w:p w:rsidR="00795449" w:rsidRDefault="00795449"/>
    <w:tbl>
      <w:tblPr>
        <w:tblStyle w:val="TableGrid"/>
        <w:tblW w:w="0" w:type="auto"/>
        <w:tblLook w:val="04A0" w:firstRow="1" w:lastRow="0" w:firstColumn="1" w:lastColumn="0" w:noHBand="0" w:noVBand="1"/>
      </w:tblPr>
      <w:tblGrid>
        <w:gridCol w:w="2093"/>
        <w:gridCol w:w="7761"/>
      </w:tblGrid>
      <w:tr w:rsidR="00795449" w:rsidTr="00795449">
        <w:tc>
          <w:tcPr>
            <w:tcW w:w="2093" w:type="dxa"/>
          </w:tcPr>
          <w:p w:rsidR="00795449" w:rsidRPr="007E43EC" w:rsidRDefault="00795449" w:rsidP="00795449">
            <w:pPr>
              <w:rPr>
                <w:rFonts w:cs="Arial"/>
                <w:b/>
              </w:rPr>
            </w:pPr>
            <w:r w:rsidRPr="007E43EC">
              <w:rPr>
                <w:rFonts w:cs="Arial"/>
                <w:b/>
              </w:rPr>
              <w:t>Name:</w:t>
            </w:r>
          </w:p>
          <w:p w:rsidR="00795449" w:rsidRPr="007E43EC" w:rsidRDefault="00795449">
            <w:pPr>
              <w:rPr>
                <w:rFonts w:cs="Arial"/>
                <w:b/>
              </w:rPr>
            </w:pPr>
          </w:p>
        </w:tc>
        <w:tc>
          <w:tcPr>
            <w:tcW w:w="7761" w:type="dxa"/>
          </w:tcPr>
          <w:p w:rsidR="00795449" w:rsidRDefault="00266996">
            <w:pPr>
              <w:rPr>
                <w:rFonts w:cs="Arial"/>
              </w:rPr>
            </w:pPr>
            <w:r>
              <w:rPr>
                <w:rFonts w:cs="Arial"/>
              </w:rPr>
              <w:t>Hayden Dillon</w:t>
            </w:r>
          </w:p>
        </w:tc>
      </w:tr>
      <w:tr w:rsidR="00795449" w:rsidTr="00795449">
        <w:tc>
          <w:tcPr>
            <w:tcW w:w="2093" w:type="dxa"/>
          </w:tcPr>
          <w:p w:rsidR="00795449" w:rsidRPr="007E43EC" w:rsidRDefault="00795449" w:rsidP="00795449">
            <w:pPr>
              <w:rPr>
                <w:rFonts w:cs="Arial"/>
                <w:b/>
              </w:rPr>
            </w:pPr>
            <w:r w:rsidRPr="007E43EC">
              <w:rPr>
                <w:rFonts w:cs="Arial"/>
                <w:b/>
              </w:rPr>
              <w:t>Email Address:</w:t>
            </w:r>
          </w:p>
          <w:p w:rsidR="00795449" w:rsidRPr="007E43EC" w:rsidRDefault="00795449">
            <w:pPr>
              <w:rPr>
                <w:rFonts w:cs="Arial"/>
                <w:b/>
              </w:rPr>
            </w:pPr>
          </w:p>
        </w:tc>
        <w:tc>
          <w:tcPr>
            <w:tcW w:w="7761" w:type="dxa"/>
          </w:tcPr>
          <w:p w:rsidR="00795449" w:rsidRDefault="00266996">
            <w:pPr>
              <w:rPr>
                <w:rFonts w:cs="Arial"/>
              </w:rPr>
            </w:pPr>
            <w:r>
              <w:rPr>
                <w:rFonts w:cs="Arial"/>
              </w:rPr>
              <w:t>Hayden.dillon</w:t>
            </w:r>
            <w:r w:rsidR="001208D7">
              <w:rPr>
                <w:rFonts w:cs="Arial"/>
              </w:rPr>
              <w:t>@crowehorwath.co.nz</w:t>
            </w:r>
          </w:p>
        </w:tc>
      </w:tr>
      <w:tr w:rsidR="00795449" w:rsidTr="00795449">
        <w:tc>
          <w:tcPr>
            <w:tcW w:w="2093" w:type="dxa"/>
          </w:tcPr>
          <w:p w:rsidR="00795449" w:rsidRPr="007E43EC" w:rsidRDefault="00795449" w:rsidP="00BD7010">
            <w:pPr>
              <w:jc w:val="left"/>
              <w:rPr>
                <w:rFonts w:cs="Arial"/>
                <w:b/>
              </w:rPr>
            </w:pPr>
            <w:r w:rsidRPr="007E43EC">
              <w:rPr>
                <w:rFonts w:cs="Arial"/>
                <w:b/>
              </w:rPr>
              <w:t>Preferred contact no.</w:t>
            </w:r>
          </w:p>
          <w:p w:rsidR="00795449" w:rsidRPr="007E43EC" w:rsidRDefault="00795449">
            <w:pPr>
              <w:rPr>
                <w:rFonts w:cs="Arial"/>
                <w:b/>
              </w:rPr>
            </w:pPr>
          </w:p>
        </w:tc>
        <w:tc>
          <w:tcPr>
            <w:tcW w:w="7761" w:type="dxa"/>
          </w:tcPr>
          <w:p w:rsidR="00795449" w:rsidRDefault="00266996" w:rsidP="00266996">
            <w:pPr>
              <w:rPr>
                <w:rFonts w:cs="Arial"/>
              </w:rPr>
            </w:pPr>
            <w:r>
              <w:rPr>
                <w:rFonts w:cs="Arial"/>
              </w:rPr>
              <w:t>+64 29 9145 190</w:t>
            </w:r>
          </w:p>
        </w:tc>
      </w:tr>
      <w:tr w:rsidR="00795449" w:rsidTr="00795449">
        <w:tc>
          <w:tcPr>
            <w:tcW w:w="2093" w:type="dxa"/>
          </w:tcPr>
          <w:p w:rsidR="00795449" w:rsidRPr="007E43EC" w:rsidRDefault="00795449" w:rsidP="00795449">
            <w:pPr>
              <w:rPr>
                <w:rFonts w:cs="Arial"/>
                <w:b/>
              </w:rPr>
            </w:pPr>
            <w:r w:rsidRPr="007E43EC">
              <w:rPr>
                <w:rFonts w:cs="Arial"/>
                <w:b/>
              </w:rPr>
              <w:t>Postal Address</w:t>
            </w:r>
          </w:p>
          <w:p w:rsidR="00795449" w:rsidRPr="007E43EC" w:rsidRDefault="00795449">
            <w:pPr>
              <w:rPr>
                <w:rFonts w:cs="Arial"/>
                <w:b/>
              </w:rPr>
            </w:pPr>
          </w:p>
        </w:tc>
        <w:tc>
          <w:tcPr>
            <w:tcW w:w="7761" w:type="dxa"/>
          </w:tcPr>
          <w:p w:rsidR="00795449" w:rsidRDefault="00266996">
            <w:pPr>
              <w:rPr>
                <w:rFonts w:cs="Arial"/>
              </w:rPr>
            </w:pPr>
            <w:r>
              <w:rPr>
                <w:rFonts w:cs="Arial"/>
              </w:rPr>
              <w:t>Level 3, Bridgewater Building, 130 Grantham Street, Hamilton 3204</w:t>
            </w:r>
          </w:p>
        </w:tc>
      </w:tr>
      <w:tr w:rsidR="00795449" w:rsidTr="00795449">
        <w:tc>
          <w:tcPr>
            <w:tcW w:w="2093" w:type="dxa"/>
          </w:tcPr>
          <w:p w:rsidR="00795449" w:rsidRPr="007E43EC" w:rsidRDefault="00795449" w:rsidP="00795449">
            <w:pPr>
              <w:rPr>
                <w:rFonts w:cs="Arial"/>
                <w:b/>
              </w:rPr>
            </w:pPr>
            <w:r w:rsidRPr="007E43EC">
              <w:rPr>
                <w:rFonts w:cs="Arial"/>
                <w:b/>
              </w:rPr>
              <w:t>Location</w:t>
            </w:r>
          </w:p>
          <w:p w:rsidR="00795449" w:rsidRPr="007E43EC" w:rsidRDefault="00795449">
            <w:pPr>
              <w:rPr>
                <w:rFonts w:cs="Arial"/>
                <w:b/>
              </w:rPr>
            </w:pPr>
          </w:p>
        </w:tc>
        <w:tc>
          <w:tcPr>
            <w:tcW w:w="7761" w:type="dxa"/>
          </w:tcPr>
          <w:p w:rsidR="00795449" w:rsidRDefault="00266996">
            <w:pPr>
              <w:rPr>
                <w:rFonts w:cs="Arial"/>
              </w:rPr>
            </w:pPr>
            <w:r>
              <w:rPr>
                <w:rFonts w:cs="Arial"/>
              </w:rPr>
              <w:t>Hamilton, Waikato</w:t>
            </w:r>
          </w:p>
        </w:tc>
      </w:tr>
      <w:tr w:rsidR="00795449" w:rsidTr="00795449">
        <w:tc>
          <w:tcPr>
            <w:tcW w:w="2093" w:type="dxa"/>
          </w:tcPr>
          <w:p w:rsidR="00795449" w:rsidRPr="007E43EC" w:rsidRDefault="00795449" w:rsidP="00795449">
            <w:pPr>
              <w:rPr>
                <w:rFonts w:cs="Arial"/>
                <w:b/>
              </w:rPr>
            </w:pPr>
            <w:r w:rsidRPr="007E43EC">
              <w:rPr>
                <w:rFonts w:cs="Arial"/>
                <w:b/>
              </w:rPr>
              <w:t>Professional Profile</w:t>
            </w:r>
          </w:p>
          <w:p w:rsidR="00795449" w:rsidRPr="007E43EC" w:rsidRDefault="00795449">
            <w:pPr>
              <w:rPr>
                <w:rFonts w:cs="Arial"/>
                <w:b/>
              </w:rPr>
            </w:pPr>
          </w:p>
        </w:tc>
        <w:tc>
          <w:tcPr>
            <w:tcW w:w="7761" w:type="dxa"/>
          </w:tcPr>
          <w:p w:rsidR="002D485B" w:rsidRDefault="002D485B" w:rsidP="002D485B">
            <w:pPr>
              <w:rPr>
                <w:rFonts w:cs="Arial"/>
                <w:i/>
                <w:sz w:val="22"/>
                <w:lang w:eastAsia="en-NZ"/>
              </w:rPr>
            </w:pPr>
            <w:r w:rsidRPr="00951C53">
              <w:rPr>
                <w:rFonts w:cs="Arial"/>
                <w:i/>
                <w:sz w:val="22"/>
                <w:lang w:eastAsia="en-NZ"/>
              </w:rPr>
              <w:t xml:space="preserve">Hayden is an experienced advisor with over 15 years </w:t>
            </w:r>
            <w:r w:rsidR="00AE64BF">
              <w:rPr>
                <w:rFonts w:cs="Arial"/>
                <w:i/>
                <w:sz w:val="22"/>
                <w:lang w:eastAsia="en-NZ"/>
              </w:rPr>
              <w:t xml:space="preserve">experience in </w:t>
            </w:r>
            <w:r w:rsidRPr="00951C53">
              <w:rPr>
                <w:rFonts w:cs="Arial"/>
                <w:i/>
                <w:sz w:val="22"/>
                <w:lang w:eastAsia="en-NZ"/>
              </w:rPr>
              <w:t xml:space="preserve"> providing structural, financial, risk management, balance sheet structuring, and capital raising advice.</w:t>
            </w:r>
          </w:p>
          <w:p w:rsidR="002D485B" w:rsidRPr="002D485B" w:rsidRDefault="002D485B" w:rsidP="002D485B">
            <w:pPr>
              <w:rPr>
                <w:rFonts w:asciiTheme="minorHAnsi" w:hAnsiTheme="minorHAnsi" w:cs="Arial"/>
                <w:sz w:val="22"/>
                <w:lang w:eastAsia="en-NZ"/>
              </w:rPr>
            </w:pPr>
            <w:r w:rsidRPr="002F04E2">
              <w:rPr>
                <w:rFonts w:cs="Arial"/>
                <w:sz w:val="22"/>
                <w:lang w:eastAsia="en-NZ"/>
              </w:rPr>
              <w:br/>
            </w:r>
            <w:r w:rsidRPr="002D485B">
              <w:rPr>
                <w:rFonts w:asciiTheme="minorHAnsi" w:hAnsiTheme="minorHAnsi" w:cs="Arial"/>
                <w:sz w:val="22"/>
                <w:lang w:eastAsia="en-NZ"/>
              </w:rPr>
              <w:t xml:space="preserve">He is currently the Managing Principal for Waikato and head of Corporate Agribusiness New Zealand for Crowe Horwath. </w:t>
            </w:r>
          </w:p>
          <w:p w:rsidR="002D485B" w:rsidRDefault="002D485B" w:rsidP="002D485B">
            <w:pPr>
              <w:rPr>
                <w:rFonts w:asciiTheme="minorHAnsi" w:hAnsiTheme="minorHAnsi" w:cs="Arial"/>
                <w:sz w:val="22"/>
                <w:lang w:eastAsia="en-NZ"/>
              </w:rPr>
            </w:pPr>
            <w:r w:rsidRPr="002D485B">
              <w:rPr>
                <w:rFonts w:asciiTheme="minorHAnsi" w:hAnsiTheme="minorHAnsi" w:cs="Arial"/>
                <w:sz w:val="22"/>
                <w:lang w:eastAsia="en-NZ"/>
              </w:rPr>
              <w:t xml:space="preserve">Hayden has held key finance and management roles, with the National Australia Bank Group, specifically NAB Agribusiness, which saw him specialise in Farming through to NAB’s Corporate Bank, where he lead a Food and Fibre Sector Portfolio based in Melbourne. </w:t>
            </w:r>
          </w:p>
          <w:p w:rsidR="002D485B" w:rsidRPr="002D485B" w:rsidRDefault="002D485B" w:rsidP="002D485B">
            <w:pPr>
              <w:rPr>
                <w:rFonts w:asciiTheme="minorHAnsi" w:hAnsiTheme="minorHAnsi" w:cs="Arial"/>
                <w:sz w:val="22"/>
                <w:lang w:eastAsia="en-NZ"/>
              </w:rPr>
            </w:pPr>
          </w:p>
          <w:p w:rsidR="002D485B" w:rsidRPr="002D485B" w:rsidRDefault="002D485B" w:rsidP="002D485B">
            <w:pPr>
              <w:rPr>
                <w:rFonts w:asciiTheme="minorHAnsi" w:hAnsiTheme="minorHAnsi" w:cs="Arial"/>
                <w:sz w:val="22"/>
                <w:lang w:eastAsia="en-NZ"/>
              </w:rPr>
            </w:pPr>
            <w:r w:rsidRPr="002D485B">
              <w:rPr>
                <w:rFonts w:asciiTheme="minorHAnsi" w:hAnsiTheme="minorHAnsi" w:cs="Arial"/>
                <w:sz w:val="22"/>
                <w:lang w:eastAsia="en-NZ"/>
              </w:rPr>
              <w:t>Following this Hayden moved into executive management with the dairy sector in Victoria Australia. There he specifically led the strategic development and the M&amp;A activity of the largest privately owned dairy business in Australia, securing significant growth for the company. During this period he also held directorship roles in the logistics industry after successful implementation of a specialist logistics business</w:t>
            </w:r>
          </w:p>
          <w:p w:rsidR="002D485B" w:rsidRPr="002D485B" w:rsidRDefault="002D485B" w:rsidP="002D485B">
            <w:pPr>
              <w:rPr>
                <w:rFonts w:asciiTheme="minorHAnsi" w:hAnsiTheme="minorHAnsi" w:cs="Arial"/>
                <w:sz w:val="22"/>
                <w:lang w:eastAsia="en-NZ"/>
              </w:rPr>
            </w:pPr>
            <w:r w:rsidRPr="002D485B">
              <w:rPr>
                <w:rFonts w:asciiTheme="minorHAnsi" w:hAnsiTheme="minorHAnsi" w:cs="Arial"/>
                <w:sz w:val="22"/>
                <w:lang w:eastAsia="en-NZ"/>
              </w:rPr>
              <w:t xml:space="preserve">Hayden moved back to NZ in 2007 as a Senior Partner at the Bank of New Zealand, this role saw him leading the Hamilton team of corporate, commercial, agribusiness and private bankers. </w:t>
            </w:r>
          </w:p>
          <w:p w:rsidR="002D485B" w:rsidRDefault="002D485B" w:rsidP="002D485B">
            <w:pPr>
              <w:spacing w:before="100" w:beforeAutospacing="1" w:after="100" w:afterAutospacing="1"/>
              <w:jc w:val="left"/>
              <w:rPr>
                <w:rFonts w:asciiTheme="minorHAnsi" w:hAnsiTheme="minorHAnsi" w:cs="Arial"/>
                <w:sz w:val="22"/>
                <w:lang w:eastAsia="en-NZ"/>
              </w:rPr>
            </w:pPr>
            <w:r w:rsidRPr="002D485B">
              <w:rPr>
                <w:rFonts w:asciiTheme="minorHAnsi" w:hAnsiTheme="minorHAnsi" w:cs="Arial"/>
                <w:sz w:val="22"/>
                <w:lang w:eastAsia="en-NZ"/>
              </w:rPr>
              <w:t>Hayden’s current directorship roles include; an elected committee member of the Waikato Branch of the Institute if Directors, Diary Solutnz Ltd and a Director of the South Waikato Investment</w:t>
            </w:r>
            <w:r>
              <w:rPr>
                <w:rFonts w:asciiTheme="minorHAnsi" w:hAnsiTheme="minorHAnsi" w:cs="Arial"/>
                <w:sz w:val="22"/>
                <w:lang w:eastAsia="en-NZ"/>
              </w:rPr>
              <w:t xml:space="preserve"> Fund.</w:t>
            </w:r>
          </w:p>
          <w:p w:rsidR="002D485B" w:rsidRPr="002D485B" w:rsidRDefault="002D485B" w:rsidP="002D485B">
            <w:pPr>
              <w:spacing w:before="100" w:beforeAutospacing="1" w:after="100" w:afterAutospacing="1"/>
              <w:jc w:val="left"/>
              <w:rPr>
                <w:rFonts w:asciiTheme="minorHAnsi" w:hAnsiTheme="minorHAnsi" w:cs="Arial"/>
                <w:sz w:val="22"/>
                <w:lang w:eastAsia="en-NZ"/>
              </w:rPr>
            </w:pPr>
            <w:r w:rsidRPr="002D485B">
              <w:rPr>
                <w:rFonts w:asciiTheme="minorHAnsi" w:eastAsia="Times New Roman" w:hAnsiTheme="minorHAnsi" w:cs="Helvetica"/>
                <w:sz w:val="24"/>
                <w:szCs w:val="24"/>
                <w:lang w:eastAsia="en-NZ"/>
              </w:rPr>
              <w:t xml:space="preserve">Every high performing business needs a strong Mentor/Advisor. </w:t>
            </w:r>
            <w:r>
              <w:rPr>
                <w:rFonts w:asciiTheme="minorHAnsi" w:eastAsia="Times New Roman" w:hAnsiTheme="minorHAnsi" w:cs="Helvetica"/>
                <w:sz w:val="24"/>
                <w:szCs w:val="24"/>
                <w:lang w:eastAsia="en-NZ"/>
              </w:rPr>
              <w:t xml:space="preserve">Hayden </w:t>
            </w:r>
            <w:r w:rsidRPr="002D485B">
              <w:rPr>
                <w:rFonts w:asciiTheme="minorHAnsi" w:eastAsia="Times New Roman" w:hAnsiTheme="minorHAnsi" w:cs="Helvetica"/>
                <w:sz w:val="24"/>
                <w:szCs w:val="24"/>
                <w:lang w:eastAsia="en-NZ"/>
              </w:rPr>
              <w:t>can provide these skillsets within an Advisory Board structure, or he can access support for your finance team or provide specialist financial advice as required. He can also connect you with specialist skillsets in areas such as human resource management, systems and processes etc.</w:t>
            </w:r>
          </w:p>
          <w:p w:rsidR="002D485B" w:rsidRPr="002D485B" w:rsidRDefault="002D485B" w:rsidP="002D485B">
            <w:pPr>
              <w:spacing w:before="100" w:beforeAutospacing="1" w:after="100" w:afterAutospacing="1"/>
              <w:jc w:val="left"/>
              <w:rPr>
                <w:rFonts w:asciiTheme="minorHAnsi" w:eastAsia="Times New Roman" w:hAnsiTheme="minorHAnsi" w:cs="Helvetica"/>
                <w:sz w:val="24"/>
                <w:szCs w:val="24"/>
                <w:lang w:eastAsia="en-NZ"/>
              </w:rPr>
            </w:pPr>
            <w:r w:rsidRPr="002D485B">
              <w:rPr>
                <w:rFonts w:asciiTheme="minorHAnsi" w:eastAsia="Times New Roman" w:hAnsiTheme="minorHAnsi" w:cs="Helvetica"/>
                <w:sz w:val="24"/>
                <w:szCs w:val="24"/>
                <w:lang w:eastAsia="en-NZ"/>
              </w:rPr>
              <w:t xml:space="preserve">Crowe Horwath also </w:t>
            </w:r>
            <w:r w:rsidR="00AE64BF" w:rsidRPr="002D485B">
              <w:rPr>
                <w:rFonts w:asciiTheme="minorHAnsi" w:eastAsia="Times New Roman" w:hAnsiTheme="minorHAnsi" w:cs="Helvetica"/>
                <w:sz w:val="24"/>
                <w:szCs w:val="24"/>
                <w:lang w:eastAsia="en-NZ"/>
              </w:rPr>
              <w:t>works</w:t>
            </w:r>
            <w:r w:rsidRPr="002D485B">
              <w:rPr>
                <w:rFonts w:asciiTheme="minorHAnsi" w:eastAsia="Times New Roman" w:hAnsiTheme="minorHAnsi" w:cs="Helvetica"/>
                <w:sz w:val="24"/>
                <w:szCs w:val="24"/>
                <w:lang w:eastAsia="en-NZ"/>
              </w:rPr>
              <w:t xml:space="preserve"> with the NZTE voucher subsidy scheme to offer subsidised support to selected business sectors.  </w:t>
            </w:r>
          </w:p>
          <w:p w:rsidR="00F22D9C" w:rsidRDefault="002D485B" w:rsidP="00AE64BF">
            <w:pPr>
              <w:spacing w:before="100" w:beforeAutospacing="1" w:after="100" w:afterAutospacing="1"/>
              <w:jc w:val="left"/>
              <w:rPr>
                <w:rFonts w:cs="Arial"/>
              </w:rPr>
            </w:pPr>
            <w:r w:rsidRPr="002D485B">
              <w:rPr>
                <w:rFonts w:asciiTheme="minorHAnsi" w:eastAsia="Times New Roman" w:hAnsiTheme="minorHAnsi" w:cs="Helvetica"/>
                <w:sz w:val="24"/>
                <w:szCs w:val="24"/>
                <w:lang w:eastAsia="en-NZ"/>
              </w:rPr>
              <w:t>The support covers</w:t>
            </w:r>
            <w:r w:rsidR="00AE64BF" w:rsidRPr="002D485B">
              <w:rPr>
                <w:rFonts w:asciiTheme="minorHAnsi" w:eastAsia="Times New Roman" w:hAnsiTheme="minorHAnsi" w:cs="Helvetica"/>
                <w:sz w:val="24"/>
                <w:szCs w:val="24"/>
                <w:lang w:eastAsia="en-NZ"/>
              </w:rPr>
              <w:t xml:space="preserve">: </w:t>
            </w:r>
            <w:r w:rsidRPr="002D485B">
              <w:rPr>
                <w:rFonts w:asciiTheme="minorHAnsi" w:eastAsia="Times New Roman" w:hAnsiTheme="minorHAnsi" w:cs="Helvetica"/>
                <w:sz w:val="24"/>
                <w:szCs w:val="24"/>
                <w:lang w:eastAsia="en-NZ"/>
              </w:rPr>
              <w:br/>
              <w:t>Strategic analysis</w:t>
            </w:r>
            <w:r w:rsidRPr="002D485B">
              <w:rPr>
                <w:rFonts w:asciiTheme="minorHAnsi" w:eastAsia="Times New Roman" w:hAnsiTheme="minorHAnsi" w:cs="Helvetica"/>
                <w:sz w:val="24"/>
                <w:szCs w:val="24"/>
                <w:lang w:eastAsia="en-NZ"/>
              </w:rPr>
              <w:br/>
              <w:t>Business planning</w:t>
            </w:r>
            <w:r w:rsidRPr="002D485B">
              <w:rPr>
                <w:rFonts w:asciiTheme="minorHAnsi" w:eastAsia="Times New Roman" w:hAnsiTheme="minorHAnsi" w:cs="Helvetica"/>
                <w:sz w:val="24"/>
                <w:szCs w:val="24"/>
                <w:lang w:eastAsia="en-NZ"/>
              </w:rPr>
              <w:br/>
            </w:r>
            <w:r w:rsidRPr="002D485B">
              <w:rPr>
                <w:rFonts w:asciiTheme="minorHAnsi" w:eastAsia="Times New Roman" w:hAnsiTheme="minorHAnsi" w:cs="Helvetica"/>
                <w:sz w:val="24"/>
                <w:szCs w:val="24"/>
                <w:lang w:eastAsia="en-NZ"/>
              </w:rPr>
              <w:lastRenderedPageBreak/>
              <w:t>Ability to stand back and evaluate options</w:t>
            </w:r>
            <w:r w:rsidRPr="002D485B">
              <w:rPr>
                <w:rFonts w:asciiTheme="minorHAnsi" w:eastAsia="Times New Roman" w:hAnsiTheme="minorHAnsi" w:cs="Helvetica"/>
                <w:sz w:val="24"/>
                <w:szCs w:val="24"/>
                <w:lang w:eastAsia="en-NZ"/>
              </w:rPr>
              <w:br/>
              <w:t>Financial and analytical skills</w:t>
            </w:r>
            <w:r w:rsidRPr="002D485B">
              <w:rPr>
                <w:rFonts w:asciiTheme="minorHAnsi" w:eastAsia="Times New Roman" w:hAnsiTheme="minorHAnsi" w:cs="Helvetica"/>
                <w:sz w:val="24"/>
                <w:szCs w:val="24"/>
                <w:lang w:eastAsia="en-NZ"/>
              </w:rPr>
              <w:br/>
              <w:t>Tax expertise.</w:t>
            </w:r>
          </w:p>
        </w:tc>
      </w:tr>
      <w:tr w:rsidR="00795449" w:rsidTr="00795449">
        <w:tc>
          <w:tcPr>
            <w:tcW w:w="2093" w:type="dxa"/>
          </w:tcPr>
          <w:p w:rsidR="00795449" w:rsidRDefault="00795449" w:rsidP="00795449">
            <w:pPr>
              <w:rPr>
                <w:rFonts w:cs="Arial"/>
              </w:rPr>
            </w:pPr>
            <w:r>
              <w:rPr>
                <w:rFonts w:cs="Arial"/>
              </w:rPr>
              <w:lastRenderedPageBreak/>
              <w:t>Roles</w:t>
            </w:r>
          </w:p>
        </w:tc>
        <w:tc>
          <w:tcPr>
            <w:tcW w:w="7761" w:type="dxa"/>
          </w:tcPr>
          <w:p w:rsidR="00795449" w:rsidRDefault="002D485B" w:rsidP="00AE64BF">
            <w:pPr>
              <w:rPr>
                <w:rFonts w:cs="Arial"/>
              </w:rPr>
            </w:pPr>
            <w:r>
              <w:rPr>
                <w:rFonts w:ascii="Helvetica" w:eastAsia="Times New Roman" w:hAnsi="Helvetica" w:cs="Helvetica"/>
                <w:color w:val="5C6B80"/>
                <w:sz w:val="24"/>
                <w:szCs w:val="24"/>
                <w:lang w:eastAsia="en-NZ"/>
              </w:rPr>
              <w:t>Hayden has been a</w:t>
            </w:r>
            <w:r w:rsidR="00AE64BF">
              <w:rPr>
                <w:rFonts w:ascii="Helvetica" w:eastAsia="Times New Roman" w:hAnsi="Helvetica" w:cs="Helvetica"/>
                <w:color w:val="5C6B80"/>
                <w:sz w:val="24"/>
                <w:szCs w:val="24"/>
                <w:lang w:eastAsia="en-NZ"/>
              </w:rPr>
              <w:t>n</w:t>
            </w:r>
            <w:r>
              <w:rPr>
                <w:rFonts w:ascii="Helvetica" w:eastAsia="Times New Roman" w:hAnsi="Helvetica" w:cs="Helvetica"/>
                <w:color w:val="5C6B80"/>
                <w:sz w:val="24"/>
                <w:szCs w:val="24"/>
                <w:lang w:eastAsia="en-NZ"/>
              </w:rPr>
              <w:t xml:space="preserve"> A</w:t>
            </w:r>
            <w:r w:rsidRPr="002222B0">
              <w:rPr>
                <w:rFonts w:ascii="Helvetica" w:eastAsia="Times New Roman" w:hAnsi="Helvetica" w:cs="Helvetica"/>
                <w:color w:val="5C6B80"/>
                <w:sz w:val="24"/>
                <w:szCs w:val="24"/>
                <w:lang w:eastAsia="en-NZ"/>
              </w:rPr>
              <w:t>dviser to</w:t>
            </w:r>
            <w:r>
              <w:rPr>
                <w:rFonts w:ascii="Helvetica" w:eastAsia="Times New Roman" w:hAnsi="Helvetica" w:cs="Helvetica"/>
                <w:color w:val="5C6B80"/>
                <w:sz w:val="24"/>
                <w:szCs w:val="24"/>
                <w:lang w:eastAsia="en-NZ"/>
              </w:rPr>
              <w:t xml:space="preserve"> SME and Large </w:t>
            </w:r>
            <w:r w:rsidR="00AE64BF">
              <w:rPr>
                <w:rFonts w:ascii="Helvetica" w:eastAsia="Times New Roman" w:hAnsi="Helvetica" w:cs="Helvetica"/>
                <w:color w:val="5C6B80"/>
                <w:sz w:val="24"/>
                <w:szCs w:val="24"/>
                <w:lang w:eastAsia="en-NZ"/>
              </w:rPr>
              <w:t>organisations</w:t>
            </w:r>
            <w:r>
              <w:rPr>
                <w:rFonts w:ascii="Helvetica" w:eastAsia="Times New Roman" w:hAnsi="Helvetica" w:cs="Helvetica"/>
                <w:color w:val="5C6B80"/>
                <w:sz w:val="24"/>
                <w:szCs w:val="24"/>
                <w:lang w:eastAsia="en-NZ"/>
              </w:rPr>
              <w:t xml:space="preserve"> in </w:t>
            </w:r>
            <w:r w:rsidR="00AE64BF">
              <w:rPr>
                <w:rFonts w:ascii="Helvetica" w:eastAsia="Times New Roman" w:hAnsi="Helvetica" w:cs="Helvetica"/>
                <w:color w:val="5C6B80"/>
                <w:sz w:val="24"/>
                <w:szCs w:val="24"/>
                <w:lang w:eastAsia="en-NZ"/>
              </w:rPr>
              <w:t>both</w:t>
            </w:r>
            <w:r>
              <w:rPr>
                <w:rFonts w:ascii="Helvetica" w:eastAsia="Times New Roman" w:hAnsi="Helvetica" w:cs="Helvetica"/>
                <w:color w:val="5C6B80"/>
                <w:sz w:val="24"/>
                <w:szCs w:val="24"/>
                <w:lang w:eastAsia="en-NZ"/>
              </w:rPr>
              <w:t xml:space="preserve"> the public and private sector. References available on request  </w:t>
            </w:r>
          </w:p>
        </w:tc>
      </w:tr>
      <w:tr w:rsidR="00795449" w:rsidTr="00795449">
        <w:tc>
          <w:tcPr>
            <w:tcW w:w="2093" w:type="dxa"/>
          </w:tcPr>
          <w:p w:rsidR="00795449" w:rsidRDefault="00795449" w:rsidP="00795449">
            <w:pPr>
              <w:rPr>
                <w:rFonts w:cs="Arial"/>
              </w:rPr>
            </w:pPr>
            <w:r>
              <w:rPr>
                <w:rFonts w:cs="Arial"/>
              </w:rPr>
              <w:t>Organisations</w:t>
            </w:r>
          </w:p>
        </w:tc>
        <w:tc>
          <w:tcPr>
            <w:tcW w:w="7761" w:type="dxa"/>
          </w:tcPr>
          <w:p w:rsidR="00795449" w:rsidRPr="002222B0" w:rsidRDefault="00AE64BF" w:rsidP="00AE64BF">
            <w:pPr>
              <w:spacing w:before="100" w:beforeAutospacing="1" w:after="100" w:afterAutospacing="1"/>
              <w:jc w:val="left"/>
              <w:rPr>
                <w:rFonts w:ascii="Helvetica" w:eastAsia="Times New Roman" w:hAnsi="Helvetica" w:cs="Helvetica"/>
                <w:color w:val="5C6B80"/>
                <w:sz w:val="24"/>
                <w:szCs w:val="24"/>
                <w:lang w:eastAsia="en-NZ"/>
              </w:rPr>
            </w:pPr>
            <w:r>
              <w:rPr>
                <w:rFonts w:ascii="Helvetica" w:eastAsia="Times New Roman" w:hAnsi="Helvetica" w:cs="Helvetica"/>
                <w:color w:val="5C6B80"/>
                <w:sz w:val="24"/>
                <w:szCs w:val="24"/>
                <w:lang w:eastAsia="en-NZ"/>
              </w:rPr>
              <w:t xml:space="preserve">Hayden has worked with many clients across the supply chain, including exporting. </w:t>
            </w:r>
          </w:p>
        </w:tc>
      </w:tr>
      <w:tr w:rsidR="00795449" w:rsidTr="00795449">
        <w:tc>
          <w:tcPr>
            <w:tcW w:w="2093" w:type="dxa"/>
          </w:tcPr>
          <w:p w:rsidR="00795449" w:rsidRDefault="00795449" w:rsidP="00795449">
            <w:pPr>
              <w:rPr>
                <w:rFonts w:cs="Arial"/>
              </w:rPr>
            </w:pPr>
            <w:r>
              <w:rPr>
                <w:rFonts w:cs="Arial"/>
              </w:rPr>
              <w:t>Key skills</w:t>
            </w:r>
          </w:p>
        </w:tc>
        <w:tc>
          <w:tcPr>
            <w:tcW w:w="7761" w:type="dxa"/>
          </w:tcPr>
          <w:p w:rsidR="00795449" w:rsidRDefault="00AE64BF" w:rsidP="00032E93">
            <w:pPr>
              <w:rPr>
                <w:rFonts w:cs="Arial"/>
              </w:rPr>
            </w:pPr>
            <w:r w:rsidRPr="002F04E2">
              <w:rPr>
                <w:rFonts w:cs="Arial"/>
                <w:sz w:val="22"/>
                <w:lang w:eastAsia="en-NZ"/>
              </w:rPr>
              <w:t xml:space="preserve">Strategic development, </w:t>
            </w:r>
            <w:r w:rsidRPr="002F04E2">
              <w:rPr>
                <w:rFonts w:cs="Arial"/>
                <w:sz w:val="22"/>
                <w:lang w:eastAsia="en-NZ"/>
              </w:rPr>
              <w:br/>
              <w:t xml:space="preserve">Capital raising </w:t>
            </w:r>
            <w:r w:rsidRPr="002F04E2">
              <w:rPr>
                <w:rFonts w:cs="Arial"/>
                <w:sz w:val="22"/>
                <w:lang w:eastAsia="en-NZ"/>
              </w:rPr>
              <w:br/>
              <w:t xml:space="preserve">Financial risk management (Treasury). </w:t>
            </w:r>
            <w:r w:rsidRPr="002F04E2">
              <w:rPr>
                <w:rFonts w:cs="Arial"/>
                <w:sz w:val="22"/>
                <w:lang w:eastAsia="en-NZ"/>
              </w:rPr>
              <w:br/>
              <w:t xml:space="preserve">Primary industry </w:t>
            </w:r>
            <w:r>
              <w:rPr>
                <w:rFonts w:cs="Arial"/>
                <w:sz w:val="22"/>
                <w:lang w:eastAsia="en-NZ"/>
              </w:rPr>
              <w:t xml:space="preserve">and </w:t>
            </w:r>
            <w:r w:rsidRPr="002F04E2">
              <w:rPr>
                <w:rFonts w:cs="Arial"/>
                <w:sz w:val="22"/>
                <w:lang w:eastAsia="en-NZ"/>
              </w:rPr>
              <w:t>supply chain management</w:t>
            </w:r>
          </w:p>
        </w:tc>
      </w:tr>
      <w:tr w:rsidR="00795449" w:rsidTr="00795449">
        <w:tc>
          <w:tcPr>
            <w:tcW w:w="2093" w:type="dxa"/>
          </w:tcPr>
          <w:p w:rsidR="00795449" w:rsidRDefault="00795449" w:rsidP="00795449">
            <w:pPr>
              <w:rPr>
                <w:rFonts w:cs="Arial"/>
              </w:rPr>
            </w:pPr>
            <w:r>
              <w:rPr>
                <w:rFonts w:cs="Arial"/>
              </w:rPr>
              <w:t xml:space="preserve">Industry experience </w:t>
            </w:r>
          </w:p>
        </w:tc>
        <w:tc>
          <w:tcPr>
            <w:tcW w:w="7761" w:type="dxa"/>
          </w:tcPr>
          <w:p w:rsidR="00795449" w:rsidRDefault="00AE64BF" w:rsidP="00266996">
            <w:pPr>
              <w:rPr>
                <w:rFonts w:cs="Arial"/>
              </w:rPr>
            </w:pPr>
            <w:r>
              <w:rPr>
                <w:rFonts w:cs="Arial"/>
              </w:rPr>
              <w:t>Agribusiness, Logistics, Export</w:t>
            </w:r>
          </w:p>
        </w:tc>
      </w:tr>
    </w:tbl>
    <w:p w:rsidR="002059E0" w:rsidRPr="0017272F" w:rsidRDefault="002059E0">
      <w:pPr>
        <w:rPr>
          <w:rFonts w:cs="Arial"/>
          <w:u w:val="single"/>
        </w:rPr>
      </w:pPr>
    </w:p>
    <w:p w:rsidR="0017272F" w:rsidRPr="0017272F" w:rsidRDefault="0017272F">
      <w:pPr>
        <w:rPr>
          <w:rFonts w:cs="Arial"/>
          <w:b/>
          <w:u w:val="single"/>
        </w:rPr>
      </w:pPr>
      <w:r w:rsidRPr="0017272F">
        <w:rPr>
          <w:rFonts w:cs="Arial"/>
          <w:b/>
          <w:u w:val="single"/>
        </w:rPr>
        <w:t>Current Employment</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Current Company</w:t>
            </w:r>
          </w:p>
        </w:tc>
        <w:tc>
          <w:tcPr>
            <w:tcW w:w="7194" w:type="dxa"/>
          </w:tcPr>
          <w:p w:rsidR="0017272F" w:rsidRPr="008751D0" w:rsidRDefault="007E43EC" w:rsidP="00266996">
            <w:pPr>
              <w:rPr>
                <w:rFonts w:ascii="Helvetica" w:eastAsia="Times New Roman" w:hAnsi="Helvetica" w:cs="Helvetica"/>
                <w:color w:val="5C6B80"/>
                <w:sz w:val="24"/>
                <w:szCs w:val="24"/>
                <w:lang w:eastAsia="en-NZ"/>
              </w:rPr>
            </w:pPr>
            <w:r w:rsidRPr="008751D0">
              <w:rPr>
                <w:rFonts w:ascii="Helvetica" w:eastAsia="Times New Roman" w:hAnsi="Helvetica" w:cs="Helvetica"/>
                <w:color w:val="5C6B80"/>
                <w:sz w:val="24"/>
                <w:szCs w:val="24"/>
                <w:lang w:eastAsia="en-NZ"/>
              </w:rPr>
              <w:t>Crowe Horwath</w:t>
            </w:r>
          </w:p>
        </w:tc>
      </w:tr>
      <w:tr w:rsidR="0017272F" w:rsidTr="00BD7010">
        <w:tc>
          <w:tcPr>
            <w:tcW w:w="2660" w:type="dxa"/>
          </w:tcPr>
          <w:p w:rsidR="0017272F" w:rsidRDefault="0017272F">
            <w:pPr>
              <w:rPr>
                <w:rFonts w:cs="Arial"/>
              </w:rPr>
            </w:pPr>
            <w:r>
              <w:rPr>
                <w:rFonts w:cs="Arial"/>
              </w:rPr>
              <w:t>Current Position</w:t>
            </w:r>
          </w:p>
        </w:tc>
        <w:tc>
          <w:tcPr>
            <w:tcW w:w="7194" w:type="dxa"/>
          </w:tcPr>
          <w:p w:rsidR="0017272F" w:rsidRPr="008751D0" w:rsidRDefault="00266996">
            <w:pPr>
              <w:rPr>
                <w:rFonts w:ascii="Helvetica" w:eastAsia="Times New Roman" w:hAnsi="Helvetica" w:cs="Helvetica"/>
                <w:color w:val="5C6B80"/>
                <w:sz w:val="24"/>
                <w:szCs w:val="24"/>
                <w:lang w:eastAsia="en-NZ"/>
              </w:rPr>
            </w:pPr>
            <w:r>
              <w:rPr>
                <w:rFonts w:ascii="Helvetica" w:eastAsia="Times New Roman" w:hAnsi="Helvetica" w:cs="Helvetica"/>
                <w:color w:val="5C6B80"/>
                <w:sz w:val="24"/>
                <w:szCs w:val="24"/>
                <w:lang w:eastAsia="en-NZ"/>
              </w:rPr>
              <w:t xml:space="preserve">Managing </w:t>
            </w:r>
            <w:r w:rsidR="007E43EC" w:rsidRPr="008751D0">
              <w:rPr>
                <w:rFonts w:ascii="Helvetica" w:eastAsia="Times New Roman" w:hAnsi="Helvetica" w:cs="Helvetica"/>
                <w:color w:val="5C6B80"/>
                <w:sz w:val="24"/>
                <w:szCs w:val="24"/>
                <w:lang w:eastAsia="en-NZ"/>
              </w:rPr>
              <w:t>Principal</w:t>
            </w:r>
            <w:r w:rsidR="002D485B">
              <w:rPr>
                <w:rFonts w:ascii="Helvetica" w:eastAsia="Times New Roman" w:hAnsi="Helvetica" w:cs="Helvetica"/>
                <w:color w:val="5C6B80"/>
                <w:sz w:val="24"/>
                <w:szCs w:val="24"/>
                <w:lang w:eastAsia="en-NZ"/>
              </w:rPr>
              <w:t xml:space="preserve"> Waikato. Head of Corporate Agribusiness</w:t>
            </w:r>
          </w:p>
        </w:tc>
      </w:tr>
      <w:tr w:rsidR="0017272F" w:rsidTr="00BD7010">
        <w:tc>
          <w:tcPr>
            <w:tcW w:w="2660" w:type="dxa"/>
          </w:tcPr>
          <w:p w:rsidR="0017272F" w:rsidRDefault="0017272F">
            <w:pPr>
              <w:rPr>
                <w:rFonts w:cs="Arial"/>
              </w:rPr>
            </w:pPr>
            <w:r>
              <w:rPr>
                <w:rFonts w:cs="Arial"/>
              </w:rPr>
              <w:t>Time in this position</w:t>
            </w:r>
          </w:p>
        </w:tc>
        <w:tc>
          <w:tcPr>
            <w:tcW w:w="7194" w:type="dxa"/>
          </w:tcPr>
          <w:p w:rsidR="0017272F" w:rsidRDefault="00266996" w:rsidP="00266996">
            <w:pPr>
              <w:rPr>
                <w:rFonts w:cs="Arial"/>
              </w:rPr>
            </w:pPr>
            <w:r>
              <w:rPr>
                <w:rFonts w:cs="Arial"/>
              </w:rPr>
              <w:t>2.5 years</w:t>
            </w:r>
          </w:p>
        </w:tc>
      </w:tr>
    </w:tbl>
    <w:p w:rsidR="0017272F" w:rsidRDefault="0017272F">
      <w:pPr>
        <w:rPr>
          <w:rFonts w:cs="Arial"/>
        </w:rPr>
      </w:pPr>
    </w:p>
    <w:p w:rsidR="0017272F" w:rsidRPr="0017272F" w:rsidRDefault="0017272F">
      <w:pPr>
        <w:rPr>
          <w:rFonts w:cs="Arial"/>
          <w:b/>
          <w:u w:val="single"/>
        </w:rPr>
      </w:pPr>
      <w:r w:rsidRPr="0017272F">
        <w:rPr>
          <w:rFonts w:cs="Arial"/>
          <w:b/>
          <w:u w:val="single"/>
        </w:rPr>
        <w:t>Contact information</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Website 1</w:t>
            </w:r>
          </w:p>
        </w:tc>
        <w:tc>
          <w:tcPr>
            <w:tcW w:w="7194" w:type="dxa"/>
          </w:tcPr>
          <w:p w:rsidR="0017272F" w:rsidRDefault="00BB3512">
            <w:pPr>
              <w:rPr>
                <w:rFonts w:cs="Arial"/>
              </w:rPr>
            </w:pPr>
            <w:hyperlink r:id="rId7" w:history="1">
              <w:r w:rsidR="008751D0" w:rsidRPr="00F90635">
                <w:rPr>
                  <w:rStyle w:val="Hyperlink"/>
                  <w:rFonts w:cs="Arial"/>
                </w:rPr>
                <w:t>www.crowehorwath.co.nz</w:t>
              </w:r>
            </w:hyperlink>
          </w:p>
        </w:tc>
      </w:tr>
      <w:tr w:rsidR="0017272F" w:rsidTr="00BD7010">
        <w:tc>
          <w:tcPr>
            <w:tcW w:w="2660" w:type="dxa"/>
          </w:tcPr>
          <w:p w:rsidR="0017272F" w:rsidRDefault="0017272F">
            <w:pPr>
              <w:rPr>
                <w:rFonts w:cs="Arial"/>
              </w:rPr>
            </w:pPr>
            <w:r>
              <w:rPr>
                <w:rFonts w:cs="Arial"/>
              </w:rPr>
              <w:t>Website 2</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Skype ID</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LinkedIn</w:t>
            </w:r>
          </w:p>
        </w:tc>
        <w:tc>
          <w:tcPr>
            <w:tcW w:w="7194" w:type="dxa"/>
          </w:tcPr>
          <w:p w:rsidR="0017272F" w:rsidRDefault="00266996">
            <w:pPr>
              <w:rPr>
                <w:rFonts w:cs="Arial"/>
              </w:rPr>
            </w:pPr>
            <w:r>
              <w:rPr>
                <w:rFonts w:cs="Arial"/>
              </w:rPr>
              <w:t>https://nz.linkedIn.com/pub/hayden-dillon/11/713/6a6</w:t>
            </w:r>
          </w:p>
        </w:tc>
      </w:tr>
    </w:tbl>
    <w:p w:rsidR="0017272F" w:rsidRDefault="0017272F">
      <w:pPr>
        <w:rPr>
          <w:rFonts w:cs="Arial"/>
        </w:rPr>
      </w:pPr>
    </w:p>
    <w:p w:rsidR="0017272F" w:rsidRDefault="0017272F">
      <w:pPr>
        <w:rPr>
          <w:rFonts w:cs="Arial"/>
          <w:b/>
          <w:u w:val="single"/>
        </w:rPr>
      </w:pPr>
      <w:r w:rsidRPr="0017272F">
        <w:rPr>
          <w:rFonts w:cs="Arial"/>
          <w:b/>
          <w:u w:val="single"/>
        </w:rPr>
        <w:t>Qualifications and Education</w:t>
      </w:r>
    </w:p>
    <w:p w:rsidR="0017272F" w:rsidRDefault="0017272F" w:rsidP="0017272F">
      <w:pPr>
        <w:rPr>
          <w:rFonts w:cs="Arial"/>
        </w:rPr>
      </w:pPr>
    </w:p>
    <w:tbl>
      <w:tblPr>
        <w:tblStyle w:val="TableGrid"/>
        <w:tblW w:w="0" w:type="auto"/>
        <w:tblLook w:val="04A0" w:firstRow="1" w:lastRow="0" w:firstColumn="1" w:lastColumn="0" w:noHBand="0" w:noVBand="1"/>
      </w:tblPr>
      <w:tblGrid>
        <w:gridCol w:w="4927"/>
        <w:gridCol w:w="4927"/>
      </w:tblGrid>
      <w:tr w:rsidR="0017272F" w:rsidTr="0007581F">
        <w:tc>
          <w:tcPr>
            <w:tcW w:w="4927" w:type="dxa"/>
          </w:tcPr>
          <w:p w:rsidR="0017272F" w:rsidRDefault="0017272F" w:rsidP="0017272F">
            <w:pPr>
              <w:rPr>
                <w:rFonts w:cs="Arial"/>
              </w:rPr>
            </w:pPr>
            <w:r>
              <w:rPr>
                <w:rFonts w:cs="Arial"/>
              </w:rPr>
              <w:t>Facility</w:t>
            </w:r>
          </w:p>
        </w:tc>
        <w:tc>
          <w:tcPr>
            <w:tcW w:w="4927" w:type="dxa"/>
          </w:tcPr>
          <w:p w:rsidR="0017272F" w:rsidRDefault="00266996" w:rsidP="0007581F">
            <w:pPr>
              <w:rPr>
                <w:rFonts w:cs="Arial"/>
              </w:rPr>
            </w:pPr>
            <w:r>
              <w:rPr>
                <w:rFonts w:cs="Arial"/>
              </w:rPr>
              <w:t>Lincoln</w:t>
            </w:r>
            <w:r w:rsidR="00972849">
              <w:rPr>
                <w:rFonts w:cs="Arial"/>
              </w:rPr>
              <w:t xml:space="preserve"> University</w:t>
            </w:r>
          </w:p>
        </w:tc>
      </w:tr>
      <w:tr w:rsidR="0017272F" w:rsidTr="0007581F">
        <w:tc>
          <w:tcPr>
            <w:tcW w:w="4927" w:type="dxa"/>
          </w:tcPr>
          <w:p w:rsidR="0017272F" w:rsidRDefault="0017272F" w:rsidP="0007581F">
            <w:pPr>
              <w:rPr>
                <w:rFonts w:cs="Arial"/>
              </w:rPr>
            </w:pPr>
            <w:r>
              <w:rPr>
                <w:rFonts w:cs="Arial"/>
              </w:rPr>
              <w:t>Qualifications gained 1</w:t>
            </w:r>
          </w:p>
        </w:tc>
        <w:tc>
          <w:tcPr>
            <w:tcW w:w="4927" w:type="dxa"/>
          </w:tcPr>
          <w:p w:rsidR="0017272F" w:rsidRDefault="00972849" w:rsidP="0007581F">
            <w:pPr>
              <w:rPr>
                <w:rFonts w:cs="Arial"/>
              </w:rPr>
            </w:pPr>
            <w:r>
              <w:rPr>
                <w:rFonts w:cs="Arial"/>
              </w:rPr>
              <w:t xml:space="preserve">Bachelor of </w:t>
            </w:r>
            <w:r w:rsidR="00266996">
              <w:rPr>
                <w:rFonts w:cs="Arial"/>
              </w:rPr>
              <w:t>Commerce, Agriculture</w:t>
            </w:r>
          </w:p>
        </w:tc>
      </w:tr>
      <w:tr w:rsidR="0017272F" w:rsidTr="0007581F">
        <w:tc>
          <w:tcPr>
            <w:tcW w:w="4927" w:type="dxa"/>
          </w:tcPr>
          <w:p w:rsidR="0017272F" w:rsidRDefault="0017272F" w:rsidP="0007581F">
            <w:pPr>
              <w:rPr>
                <w:rFonts w:cs="Arial"/>
              </w:rPr>
            </w:pPr>
            <w:r>
              <w:rPr>
                <w:rFonts w:cs="Arial"/>
              </w:rPr>
              <w:t>Facility 2</w:t>
            </w:r>
          </w:p>
        </w:tc>
        <w:tc>
          <w:tcPr>
            <w:tcW w:w="4927" w:type="dxa"/>
          </w:tcPr>
          <w:p w:rsidR="0017272F" w:rsidRDefault="00972849" w:rsidP="0007581F">
            <w:pPr>
              <w:rPr>
                <w:rFonts w:cs="Arial"/>
              </w:rPr>
            </w:pPr>
            <w:r>
              <w:rPr>
                <w:rFonts w:cs="Arial"/>
              </w:rPr>
              <w:t>Institute of Directors</w:t>
            </w:r>
          </w:p>
        </w:tc>
      </w:tr>
      <w:tr w:rsidR="0017272F" w:rsidTr="0007581F">
        <w:tc>
          <w:tcPr>
            <w:tcW w:w="4927" w:type="dxa"/>
          </w:tcPr>
          <w:p w:rsidR="0017272F" w:rsidRDefault="0017272F" w:rsidP="0007581F">
            <w:pPr>
              <w:rPr>
                <w:rFonts w:cs="Arial"/>
              </w:rPr>
            </w:pPr>
            <w:r>
              <w:rPr>
                <w:rFonts w:cs="Arial"/>
              </w:rPr>
              <w:t>Qualifications gained 2</w:t>
            </w:r>
          </w:p>
        </w:tc>
        <w:tc>
          <w:tcPr>
            <w:tcW w:w="4927" w:type="dxa"/>
          </w:tcPr>
          <w:p w:rsidR="0017272F" w:rsidRDefault="00972849" w:rsidP="0007581F">
            <w:pPr>
              <w:rPr>
                <w:rFonts w:cs="Arial"/>
              </w:rPr>
            </w:pPr>
            <w:r>
              <w:rPr>
                <w:rFonts w:cs="Arial"/>
              </w:rPr>
              <w:t>Directors Certificate</w:t>
            </w:r>
          </w:p>
        </w:tc>
      </w:tr>
      <w:tr w:rsidR="0017272F" w:rsidTr="0007581F">
        <w:tc>
          <w:tcPr>
            <w:tcW w:w="4927" w:type="dxa"/>
          </w:tcPr>
          <w:p w:rsidR="0017272F" w:rsidRDefault="0017272F" w:rsidP="0007581F">
            <w:pPr>
              <w:rPr>
                <w:rFonts w:cs="Arial"/>
              </w:rPr>
            </w:pPr>
            <w:r>
              <w:rPr>
                <w:rFonts w:cs="Arial"/>
              </w:rPr>
              <w:t>Facility 3</w:t>
            </w:r>
          </w:p>
        </w:tc>
        <w:tc>
          <w:tcPr>
            <w:tcW w:w="4927" w:type="dxa"/>
          </w:tcPr>
          <w:p w:rsidR="0017272F" w:rsidRDefault="00266996" w:rsidP="00266996">
            <w:pPr>
              <w:rPr>
                <w:rFonts w:cs="Arial"/>
              </w:rPr>
            </w:pPr>
            <w:r>
              <w:rPr>
                <w:rFonts w:cs="Arial"/>
              </w:rPr>
              <w:t>Financial Services Institute of Australasia</w:t>
            </w:r>
          </w:p>
        </w:tc>
      </w:tr>
      <w:tr w:rsidR="0017272F" w:rsidTr="0007581F">
        <w:tc>
          <w:tcPr>
            <w:tcW w:w="4927" w:type="dxa"/>
          </w:tcPr>
          <w:p w:rsidR="0017272F" w:rsidRDefault="0017272F" w:rsidP="0007581F">
            <w:pPr>
              <w:rPr>
                <w:rFonts w:cs="Arial"/>
              </w:rPr>
            </w:pPr>
            <w:r>
              <w:rPr>
                <w:rFonts w:cs="Arial"/>
              </w:rPr>
              <w:t>Qualifications gained 3</w:t>
            </w:r>
          </w:p>
        </w:tc>
        <w:tc>
          <w:tcPr>
            <w:tcW w:w="4927" w:type="dxa"/>
          </w:tcPr>
          <w:p w:rsidR="0017272F" w:rsidRDefault="00266996" w:rsidP="00266996">
            <w:pPr>
              <w:jc w:val="left"/>
              <w:rPr>
                <w:rFonts w:cs="Arial"/>
              </w:rPr>
            </w:pPr>
            <w:r>
              <w:rPr>
                <w:rFonts w:cs="Arial"/>
              </w:rPr>
              <w:t>Post Grad Diploma in Applied Finance and Investment, Treasury</w:t>
            </w:r>
          </w:p>
        </w:tc>
      </w:tr>
    </w:tbl>
    <w:p w:rsidR="0017272F" w:rsidRPr="0017272F" w:rsidRDefault="0017272F">
      <w:pPr>
        <w:rPr>
          <w:rFonts w:cs="Arial"/>
          <w:b/>
          <w:u w:val="single"/>
        </w:rPr>
      </w:pPr>
    </w:p>
    <w:sectPr w:rsidR="0017272F" w:rsidRPr="0017272F" w:rsidSect="00667663">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AAD"/>
    <w:multiLevelType w:val="multilevel"/>
    <w:tmpl w:val="174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1"/>
    <w:rsid w:val="00032E93"/>
    <w:rsid w:val="001208D7"/>
    <w:rsid w:val="00120ABD"/>
    <w:rsid w:val="00137F9E"/>
    <w:rsid w:val="0017272F"/>
    <w:rsid w:val="001D12EB"/>
    <w:rsid w:val="002059E0"/>
    <w:rsid w:val="002222B0"/>
    <w:rsid w:val="00266996"/>
    <w:rsid w:val="00270681"/>
    <w:rsid w:val="002D485B"/>
    <w:rsid w:val="00334C5A"/>
    <w:rsid w:val="004875E8"/>
    <w:rsid w:val="00667663"/>
    <w:rsid w:val="006869E4"/>
    <w:rsid w:val="00795449"/>
    <w:rsid w:val="007E43EC"/>
    <w:rsid w:val="00811FD3"/>
    <w:rsid w:val="008751D0"/>
    <w:rsid w:val="00972849"/>
    <w:rsid w:val="009755A8"/>
    <w:rsid w:val="00AE64BF"/>
    <w:rsid w:val="00AF23D9"/>
    <w:rsid w:val="00AF44FB"/>
    <w:rsid w:val="00B045D2"/>
    <w:rsid w:val="00B0536C"/>
    <w:rsid w:val="00B37992"/>
    <w:rsid w:val="00BD7010"/>
    <w:rsid w:val="00C20761"/>
    <w:rsid w:val="00F22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725">
      <w:bodyDiv w:val="1"/>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0"/>
          <w:divBdr>
            <w:top w:val="none" w:sz="0" w:space="0" w:color="auto"/>
            <w:left w:val="none" w:sz="0" w:space="0" w:color="auto"/>
            <w:bottom w:val="none" w:sz="0" w:space="0" w:color="auto"/>
            <w:right w:val="none" w:sz="0" w:space="0" w:color="auto"/>
          </w:divBdr>
          <w:divsChild>
            <w:div w:id="2140342211">
              <w:marLeft w:val="0"/>
              <w:marRight w:val="0"/>
              <w:marTop w:val="0"/>
              <w:marBottom w:val="0"/>
              <w:divBdr>
                <w:top w:val="none" w:sz="0" w:space="0" w:color="auto"/>
                <w:left w:val="none" w:sz="0" w:space="0" w:color="auto"/>
                <w:bottom w:val="none" w:sz="0" w:space="0" w:color="auto"/>
                <w:right w:val="none" w:sz="0" w:space="0" w:color="auto"/>
              </w:divBdr>
              <w:divsChild>
                <w:div w:id="182322873">
                  <w:marLeft w:val="0"/>
                  <w:marRight w:val="0"/>
                  <w:marTop w:val="0"/>
                  <w:marBottom w:val="0"/>
                  <w:divBdr>
                    <w:top w:val="none" w:sz="0" w:space="0" w:color="auto"/>
                    <w:left w:val="none" w:sz="0" w:space="0" w:color="auto"/>
                    <w:bottom w:val="none" w:sz="0" w:space="0" w:color="auto"/>
                    <w:right w:val="none" w:sz="0" w:space="0" w:color="auto"/>
                  </w:divBdr>
                  <w:divsChild>
                    <w:div w:id="592393106">
                      <w:marLeft w:val="0"/>
                      <w:marRight w:val="0"/>
                      <w:marTop w:val="0"/>
                      <w:marBottom w:val="0"/>
                      <w:divBdr>
                        <w:top w:val="none" w:sz="0" w:space="0" w:color="auto"/>
                        <w:left w:val="none" w:sz="0" w:space="0" w:color="auto"/>
                        <w:bottom w:val="none" w:sz="0" w:space="0" w:color="auto"/>
                        <w:right w:val="none" w:sz="0" w:space="0" w:color="auto"/>
                      </w:divBdr>
                      <w:divsChild>
                        <w:div w:id="167642380">
                          <w:marLeft w:val="0"/>
                          <w:marRight w:val="0"/>
                          <w:marTop w:val="0"/>
                          <w:marBottom w:val="0"/>
                          <w:divBdr>
                            <w:top w:val="none" w:sz="0" w:space="0" w:color="auto"/>
                            <w:left w:val="none" w:sz="0" w:space="0" w:color="auto"/>
                            <w:bottom w:val="none" w:sz="0" w:space="0" w:color="auto"/>
                            <w:right w:val="none" w:sz="0" w:space="0" w:color="auto"/>
                          </w:divBdr>
                          <w:divsChild>
                            <w:div w:id="1888762307">
                              <w:marLeft w:val="0"/>
                              <w:marRight w:val="0"/>
                              <w:marTop w:val="0"/>
                              <w:marBottom w:val="0"/>
                              <w:divBdr>
                                <w:top w:val="none" w:sz="0" w:space="0" w:color="auto"/>
                                <w:left w:val="none" w:sz="0" w:space="0" w:color="auto"/>
                                <w:bottom w:val="none" w:sz="0" w:space="0" w:color="auto"/>
                                <w:right w:val="none" w:sz="0" w:space="0" w:color="auto"/>
                              </w:divBdr>
                              <w:divsChild>
                                <w:div w:id="1885022988">
                                  <w:marLeft w:val="0"/>
                                  <w:marRight w:val="0"/>
                                  <w:marTop w:val="0"/>
                                  <w:marBottom w:val="0"/>
                                  <w:divBdr>
                                    <w:top w:val="none" w:sz="0" w:space="0" w:color="auto"/>
                                    <w:left w:val="none" w:sz="0" w:space="0" w:color="auto"/>
                                    <w:bottom w:val="none" w:sz="0" w:space="0" w:color="auto"/>
                                    <w:right w:val="none" w:sz="0" w:space="0" w:color="auto"/>
                                  </w:divBdr>
                                  <w:divsChild>
                                    <w:div w:id="275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45425">
      <w:bodyDiv w:val="1"/>
      <w:marLeft w:val="0"/>
      <w:marRight w:val="0"/>
      <w:marTop w:val="0"/>
      <w:marBottom w:val="0"/>
      <w:divBdr>
        <w:top w:val="none" w:sz="0" w:space="0" w:color="auto"/>
        <w:left w:val="none" w:sz="0" w:space="0" w:color="auto"/>
        <w:bottom w:val="none" w:sz="0" w:space="0" w:color="auto"/>
        <w:right w:val="none" w:sz="0" w:space="0" w:color="auto"/>
      </w:divBdr>
      <w:divsChild>
        <w:div w:id="1687445583">
          <w:marLeft w:val="0"/>
          <w:marRight w:val="0"/>
          <w:marTop w:val="750"/>
          <w:marBottom w:val="150"/>
          <w:divBdr>
            <w:top w:val="none" w:sz="0" w:space="0" w:color="auto"/>
            <w:left w:val="none" w:sz="0" w:space="0" w:color="auto"/>
            <w:bottom w:val="none" w:sz="0" w:space="0" w:color="auto"/>
            <w:right w:val="none" w:sz="0" w:space="0" w:color="auto"/>
          </w:divBdr>
          <w:divsChild>
            <w:div w:id="87969136">
              <w:marLeft w:val="0"/>
              <w:marRight w:val="0"/>
              <w:marTop w:val="0"/>
              <w:marBottom w:val="0"/>
              <w:divBdr>
                <w:top w:val="none" w:sz="0" w:space="0" w:color="auto"/>
                <w:left w:val="none" w:sz="0" w:space="0" w:color="auto"/>
                <w:bottom w:val="none" w:sz="0" w:space="0" w:color="auto"/>
                <w:right w:val="none" w:sz="0" w:space="0" w:color="auto"/>
              </w:divBdr>
              <w:divsChild>
                <w:div w:id="1109548202">
                  <w:marLeft w:val="0"/>
                  <w:marRight w:val="0"/>
                  <w:marTop w:val="0"/>
                  <w:marBottom w:val="0"/>
                  <w:divBdr>
                    <w:top w:val="none" w:sz="0" w:space="0" w:color="auto"/>
                    <w:left w:val="none" w:sz="0" w:space="0" w:color="auto"/>
                    <w:bottom w:val="none" w:sz="0" w:space="0" w:color="auto"/>
                    <w:right w:val="none" w:sz="0" w:space="0" w:color="auto"/>
                  </w:divBdr>
                  <w:divsChild>
                    <w:div w:id="1846050239">
                      <w:marLeft w:val="0"/>
                      <w:marRight w:val="0"/>
                      <w:marTop w:val="0"/>
                      <w:marBottom w:val="0"/>
                      <w:divBdr>
                        <w:top w:val="none" w:sz="0" w:space="0" w:color="auto"/>
                        <w:left w:val="none" w:sz="0" w:space="0" w:color="auto"/>
                        <w:bottom w:val="none" w:sz="0" w:space="0" w:color="auto"/>
                        <w:right w:val="none" w:sz="0" w:space="0" w:color="auto"/>
                      </w:divBdr>
                      <w:divsChild>
                        <w:div w:id="2025396205">
                          <w:marLeft w:val="0"/>
                          <w:marRight w:val="0"/>
                          <w:marTop w:val="0"/>
                          <w:marBottom w:val="0"/>
                          <w:divBdr>
                            <w:top w:val="none" w:sz="0" w:space="0" w:color="auto"/>
                            <w:left w:val="none" w:sz="0" w:space="0" w:color="auto"/>
                            <w:bottom w:val="none" w:sz="0" w:space="0" w:color="auto"/>
                            <w:right w:val="none" w:sz="0" w:space="0" w:color="auto"/>
                          </w:divBdr>
                          <w:divsChild>
                            <w:div w:id="260141184">
                              <w:marLeft w:val="0"/>
                              <w:marRight w:val="0"/>
                              <w:marTop w:val="0"/>
                              <w:marBottom w:val="0"/>
                              <w:divBdr>
                                <w:top w:val="none" w:sz="0" w:space="0" w:color="auto"/>
                                <w:left w:val="none" w:sz="0" w:space="0" w:color="auto"/>
                                <w:bottom w:val="none" w:sz="0" w:space="0" w:color="auto"/>
                                <w:right w:val="none" w:sz="0" w:space="0" w:color="auto"/>
                              </w:divBdr>
                              <w:divsChild>
                                <w:div w:id="664817093">
                                  <w:marLeft w:val="0"/>
                                  <w:marRight w:val="0"/>
                                  <w:marTop w:val="0"/>
                                  <w:marBottom w:val="0"/>
                                  <w:divBdr>
                                    <w:top w:val="none" w:sz="0" w:space="0" w:color="auto"/>
                                    <w:left w:val="none" w:sz="0" w:space="0" w:color="auto"/>
                                    <w:bottom w:val="none" w:sz="0" w:space="0" w:color="auto"/>
                                    <w:right w:val="none" w:sz="0" w:space="0" w:color="auto"/>
                                  </w:divBdr>
                                  <w:divsChild>
                                    <w:div w:id="964459840">
                                      <w:marLeft w:val="0"/>
                                      <w:marRight w:val="0"/>
                                      <w:marTop w:val="0"/>
                                      <w:marBottom w:val="0"/>
                                      <w:divBdr>
                                        <w:top w:val="none" w:sz="0" w:space="0" w:color="auto"/>
                                        <w:left w:val="none" w:sz="0" w:space="0" w:color="auto"/>
                                        <w:bottom w:val="none" w:sz="0" w:space="0" w:color="auto"/>
                                        <w:right w:val="none" w:sz="0" w:space="0" w:color="auto"/>
                                      </w:divBdr>
                                      <w:divsChild>
                                        <w:div w:id="1386635568">
                                          <w:marLeft w:val="0"/>
                                          <w:marRight w:val="0"/>
                                          <w:marTop w:val="0"/>
                                          <w:marBottom w:val="0"/>
                                          <w:divBdr>
                                            <w:top w:val="none" w:sz="0" w:space="0" w:color="auto"/>
                                            <w:left w:val="none" w:sz="0" w:space="0" w:color="auto"/>
                                            <w:bottom w:val="none" w:sz="0" w:space="0" w:color="auto"/>
                                            <w:right w:val="none" w:sz="0" w:space="0" w:color="auto"/>
                                          </w:divBdr>
                                          <w:divsChild>
                                            <w:div w:id="553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owehorwat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4417-7994-4D71-BEF4-036F049F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Datacom Systems Victoria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McElroy</dc:creator>
  <cp:lastModifiedBy>Tracy McElroy</cp:lastModifiedBy>
  <cp:revision>2</cp:revision>
  <dcterms:created xsi:type="dcterms:W3CDTF">2015-06-04T21:44:00Z</dcterms:created>
  <dcterms:modified xsi:type="dcterms:W3CDTF">2015-06-04T21:44:00Z</dcterms:modified>
</cp:coreProperties>
</file>