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49" w:rsidRPr="00795449" w:rsidRDefault="00795449" w:rsidP="00795449">
      <w:pPr>
        <w:jc w:val="center"/>
        <w:rPr>
          <w:b/>
          <w:u w:val="single"/>
        </w:rPr>
      </w:pPr>
      <w:r w:rsidRPr="00795449">
        <w:rPr>
          <w:b/>
          <w:u w:val="single"/>
        </w:rPr>
        <w:t xml:space="preserve">Advisory Board Profile </w:t>
      </w:r>
      <w:r w:rsidR="00D834B1">
        <w:rPr>
          <w:b/>
          <w:u w:val="single"/>
        </w:rPr>
        <w:t>– Chris Guillemot</w:t>
      </w:r>
      <w:bookmarkStart w:id="0" w:name="_GoBack"/>
      <w:bookmarkEnd w:id="0"/>
    </w:p>
    <w:p w:rsidR="00795449" w:rsidRDefault="00795449"/>
    <w:p w:rsidR="00795449" w:rsidRDefault="007954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Name: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5D2BA1">
            <w:pPr>
              <w:rPr>
                <w:rFonts w:cs="Arial"/>
              </w:rPr>
            </w:pPr>
            <w:r>
              <w:rPr>
                <w:rFonts w:cs="Arial"/>
              </w:rPr>
              <w:t>Chris Guillemot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Email Address: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D834B1" w:rsidP="005D2BA1">
            <w:pPr>
              <w:rPr>
                <w:rFonts w:cs="Arial"/>
              </w:rPr>
            </w:pPr>
            <w:hyperlink r:id="rId7" w:history="1">
              <w:r w:rsidR="005D2BA1" w:rsidRPr="005816F4">
                <w:rPr>
                  <w:rStyle w:val="Hyperlink"/>
                  <w:rFonts w:cs="Arial"/>
                </w:rPr>
                <w:t>chris.guillemot@crowehorwath.co.nz</w:t>
              </w:r>
            </w:hyperlink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BD7010">
            <w:pPr>
              <w:jc w:val="left"/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Preferred contact no.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9D3F2C">
            <w:pPr>
              <w:rPr>
                <w:rFonts w:cs="Arial"/>
              </w:rPr>
            </w:pPr>
            <w:r>
              <w:rPr>
                <w:rFonts w:cs="Arial"/>
              </w:rPr>
              <w:t>64 0272774328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Postal Address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C2019F">
            <w:pPr>
              <w:rPr>
                <w:rFonts w:cs="Arial"/>
              </w:rPr>
            </w:pPr>
            <w:r>
              <w:rPr>
                <w:rFonts w:cs="Arial"/>
              </w:rPr>
              <w:t>P O Box 941, Hastings 4156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Location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C2019F">
            <w:pPr>
              <w:rPr>
                <w:rFonts w:cs="Arial"/>
              </w:rPr>
            </w:pPr>
            <w:r>
              <w:rPr>
                <w:rFonts w:cs="Arial"/>
              </w:rPr>
              <w:t>Hastings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Professional Profile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92200C" w:rsidRDefault="0092200C" w:rsidP="0092200C">
            <w:pPr>
              <w:shd w:val="clear" w:color="auto" w:fill="FFFFFF"/>
              <w:spacing w:before="100" w:beforeAutospacing="1" w:after="150"/>
              <w:jc w:val="left"/>
              <w:textAlignment w:val="top"/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</w:pPr>
            <w:r w:rsidRPr="0092200C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Chris is a Principal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in Crowe Horwath</w:t>
            </w:r>
            <w:r w:rsidR="003019DA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’s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 Hawke’s Bay.  </w:t>
            </w:r>
            <w:r w:rsidRPr="0092200C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Chris values interaction with his clients and enjoys nothing more than to see them achieve their goals. He has the ability to explain technical and complex matters to clients in a language they can relate to.</w:t>
            </w:r>
          </w:p>
          <w:p w:rsidR="009D3F2C" w:rsidRPr="0092200C" w:rsidRDefault="009D3F2C" w:rsidP="0092200C">
            <w:pPr>
              <w:shd w:val="clear" w:color="auto" w:fill="FFFFFF"/>
              <w:spacing w:before="100" w:beforeAutospacing="1" w:after="150"/>
              <w:jc w:val="left"/>
              <w:textAlignment w:val="top"/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Chris has helped a number of client groups in an advisory </w:t>
            </w:r>
            <w:r w:rsidR="0081480A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capacity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 covering </w:t>
            </w:r>
            <w:r w:rsidR="0081480A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such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 issues as succession, business buy-sell process</w:t>
            </w:r>
            <w:r w:rsidR="0081480A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es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, profit </w:t>
            </w:r>
            <w:r w:rsidR="0081480A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improvement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, </w:t>
            </w:r>
            <w:r w:rsidR="0081480A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tax efficiency and growth strategies.</w:t>
            </w:r>
          </w:p>
          <w:p w:rsidR="00F22D9C" w:rsidRPr="0023375D" w:rsidRDefault="0092200C" w:rsidP="001D74E2">
            <w:pPr>
              <w:shd w:val="clear" w:color="auto" w:fill="FFFFFF"/>
              <w:spacing w:before="100" w:beforeAutospacing="1" w:after="150"/>
              <w:jc w:val="left"/>
              <w:textAlignment w:val="top"/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</w:pPr>
            <w:r w:rsidRPr="0092200C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Prior to joining Crowe Horwath in 1998, Chris worked for the Inland Revenue Department as an investigator for 13 years. This gave </w:t>
            </w:r>
            <w:r w:rsidR="001D74E2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him</w:t>
            </w:r>
            <w:r w:rsidRPr="0092200C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 expertise in a wide range of business issues. He is an expert in benchmarking, forecasting and profitability analysis, as well as in structural and tax issues. 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Roles</w:t>
            </w:r>
          </w:p>
        </w:tc>
        <w:tc>
          <w:tcPr>
            <w:tcW w:w="7761" w:type="dxa"/>
          </w:tcPr>
          <w:p w:rsidR="00795449" w:rsidRPr="00AB4905" w:rsidRDefault="00795449" w:rsidP="00032E93">
            <w:pPr>
              <w:rPr>
                <w:rFonts w:cs="Arial"/>
              </w:rPr>
            </w:pP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Organisations</w:t>
            </w:r>
          </w:p>
        </w:tc>
        <w:tc>
          <w:tcPr>
            <w:tcW w:w="7761" w:type="dxa"/>
          </w:tcPr>
          <w:p w:rsidR="00795449" w:rsidRPr="00AB4905" w:rsidRDefault="00795449" w:rsidP="002222B0">
            <w:pPr>
              <w:spacing w:before="100" w:beforeAutospacing="1" w:after="100" w:afterAutospacing="1"/>
              <w:jc w:val="left"/>
              <w:rPr>
                <w:rFonts w:ascii="Helvetica" w:eastAsia="Times New Roman" w:hAnsi="Helvetica" w:cs="Helvetica"/>
                <w:sz w:val="24"/>
                <w:szCs w:val="24"/>
                <w:lang w:eastAsia="en-NZ"/>
              </w:rPr>
            </w:pP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Key skills</w:t>
            </w:r>
          </w:p>
        </w:tc>
        <w:tc>
          <w:tcPr>
            <w:tcW w:w="7761" w:type="dxa"/>
          </w:tcPr>
          <w:p w:rsidR="00907CE4" w:rsidRPr="0092200C" w:rsidRDefault="00907CE4" w:rsidP="00907CE4">
            <w:pPr>
              <w:shd w:val="clear" w:color="auto" w:fill="FFFFFF"/>
              <w:spacing w:before="100" w:beforeAutospacing="1" w:after="100" w:afterAutospacing="1"/>
              <w:jc w:val="left"/>
              <w:textAlignment w:val="top"/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Agribusiness, taxation advice, business structuring, estate planning, m</w:t>
            </w:r>
            <w:r w:rsidRPr="0092200C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anagement accounting </w:t>
            </w:r>
          </w:p>
          <w:p w:rsidR="00795449" w:rsidRPr="00AB4905" w:rsidRDefault="00795449" w:rsidP="00032E93">
            <w:pPr>
              <w:rPr>
                <w:rFonts w:cs="Arial"/>
              </w:rPr>
            </w:pP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 xml:space="preserve">Industry experience </w:t>
            </w:r>
          </w:p>
        </w:tc>
        <w:tc>
          <w:tcPr>
            <w:tcW w:w="7761" w:type="dxa"/>
          </w:tcPr>
          <w:p w:rsidR="00795449" w:rsidRPr="00AB4905" w:rsidRDefault="0092200C" w:rsidP="0092200C">
            <w:pPr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Manufacturing, service, construction, f</w:t>
            </w:r>
            <w:r w:rsidRPr="0092200C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arming</w:t>
            </w:r>
          </w:p>
        </w:tc>
      </w:tr>
    </w:tbl>
    <w:p w:rsidR="002059E0" w:rsidRPr="0017272F" w:rsidRDefault="002059E0">
      <w:pPr>
        <w:rPr>
          <w:rFonts w:cs="Arial"/>
          <w:u w:val="single"/>
        </w:rPr>
      </w:pPr>
    </w:p>
    <w:p w:rsidR="0017272F" w:rsidRP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Current Employment</w:t>
      </w:r>
    </w:p>
    <w:p w:rsidR="0017272F" w:rsidRDefault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Current Company</w:t>
            </w:r>
          </w:p>
        </w:tc>
        <w:tc>
          <w:tcPr>
            <w:tcW w:w="7194" w:type="dxa"/>
          </w:tcPr>
          <w:p w:rsidR="0017272F" w:rsidRPr="00AB4905" w:rsidRDefault="007E43EC" w:rsidP="00AB4905">
            <w:pPr>
              <w:rPr>
                <w:rFonts w:eastAsia="Times New Roman" w:cs="Arial"/>
                <w:szCs w:val="20"/>
                <w:lang w:eastAsia="en-NZ"/>
              </w:rPr>
            </w:pPr>
            <w:r w:rsidRPr="00AB4905">
              <w:rPr>
                <w:rFonts w:eastAsia="Times New Roman" w:cs="Arial"/>
                <w:szCs w:val="20"/>
                <w:lang w:eastAsia="en-NZ"/>
              </w:rPr>
              <w:t>Crowe Horwath</w:t>
            </w:r>
            <w:r w:rsidR="00AB4905">
              <w:rPr>
                <w:rFonts w:eastAsia="Times New Roman" w:cs="Arial"/>
                <w:szCs w:val="20"/>
                <w:lang w:eastAsia="en-NZ"/>
              </w:rPr>
              <w:t xml:space="preserve"> Hawke</w:t>
            </w:r>
            <w:r w:rsidR="003019DA">
              <w:rPr>
                <w:rFonts w:eastAsia="Times New Roman" w:cs="Arial"/>
                <w:szCs w:val="20"/>
                <w:lang w:eastAsia="en-NZ"/>
              </w:rPr>
              <w:t>’</w:t>
            </w:r>
            <w:r w:rsidR="00AB4905">
              <w:rPr>
                <w:rFonts w:eastAsia="Times New Roman" w:cs="Arial"/>
                <w:szCs w:val="20"/>
                <w:lang w:eastAsia="en-NZ"/>
              </w:rPr>
              <w:t>s Bay</w:t>
            </w: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Current Position</w:t>
            </w:r>
          </w:p>
        </w:tc>
        <w:tc>
          <w:tcPr>
            <w:tcW w:w="7194" w:type="dxa"/>
          </w:tcPr>
          <w:p w:rsidR="0017272F" w:rsidRPr="00AB4905" w:rsidRDefault="007E43EC">
            <w:pPr>
              <w:rPr>
                <w:rFonts w:eastAsia="Times New Roman" w:cs="Arial"/>
                <w:szCs w:val="20"/>
                <w:lang w:eastAsia="en-NZ"/>
              </w:rPr>
            </w:pPr>
            <w:r w:rsidRPr="00AB4905">
              <w:rPr>
                <w:rFonts w:eastAsia="Times New Roman" w:cs="Arial"/>
                <w:szCs w:val="20"/>
                <w:lang w:eastAsia="en-NZ"/>
              </w:rPr>
              <w:t>Principal</w:t>
            </w: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Time in this position</w:t>
            </w:r>
          </w:p>
        </w:tc>
        <w:tc>
          <w:tcPr>
            <w:tcW w:w="7194" w:type="dxa"/>
          </w:tcPr>
          <w:p w:rsidR="0017272F" w:rsidRPr="00AB4905" w:rsidRDefault="008148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Years</w:t>
            </w:r>
          </w:p>
        </w:tc>
      </w:tr>
    </w:tbl>
    <w:p w:rsidR="0017272F" w:rsidRDefault="0017272F">
      <w:pPr>
        <w:rPr>
          <w:rFonts w:cs="Arial"/>
        </w:rPr>
      </w:pPr>
    </w:p>
    <w:p w:rsidR="0017272F" w:rsidRP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Contact information</w:t>
      </w:r>
    </w:p>
    <w:p w:rsidR="0017272F" w:rsidRDefault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Website 1</w:t>
            </w:r>
          </w:p>
        </w:tc>
        <w:tc>
          <w:tcPr>
            <w:tcW w:w="7194" w:type="dxa"/>
          </w:tcPr>
          <w:p w:rsidR="0017272F" w:rsidRDefault="00D834B1">
            <w:pPr>
              <w:rPr>
                <w:rFonts w:cs="Arial"/>
              </w:rPr>
            </w:pPr>
            <w:hyperlink r:id="rId8" w:history="1">
              <w:r w:rsidR="008751D0" w:rsidRPr="00F90635">
                <w:rPr>
                  <w:rStyle w:val="Hyperlink"/>
                  <w:rFonts w:cs="Arial"/>
                </w:rPr>
                <w:t>www.crowehorwath.co.nz</w:t>
              </w:r>
            </w:hyperlink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Website 2</w:t>
            </w:r>
          </w:p>
        </w:tc>
        <w:tc>
          <w:tcPr>
            <w:tcW w:w="7194" w:type="dxa"/>
          </w:tcPr>
          <w:p w:rsidR="0017272F" w:rsidRDefault="0017272F">
            <w:pPr>
              <w:rPr>
                <w:rFonts w:cs="Arial"/>
              </w:rPr>
            </w:pP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Skype ID</w:t>
            </w:r>
          </w:p>
        </w:tc>
        <w:tc>
          <w:tcPr>
            <w:tcW w:w="7194" w:type="dxa"/>
          </w:tcPr>
          <w:p w:rsidR="0017272F" w:rsidRDefault="0017272F">
            <w:pPr>
              <w:rPr>
                <w:rFonts w:cs="Arial"/>
              </w:rPr>
            </w:pP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LinkedIn</w:t>
            </w:r>
          </w:p>
        </w:tc>
        <w:tc>
          <w:tcPr>
            <w:tcW w:w="7194" w:type="dxa"/>
          </w:tcPr>
          <w:p w:rsidR="0017272F" w:rsidRDefault="00D834B1">
            <w:pPr>
              <w:rPr>
                <w:rFonts w:cs="Arial"/>
              </w:rPr>
            </w:pPr>
            <w:hyperlink r:id="rId9" w:history="1">
              <w:r w:rsidR="003019DA">
                <w:rPr>
                  <w:rStyle w:val="Hyperlink"/>
                </w:rPr>
                <w:t>https://nz.linkedin.com/pub/chris-guillemot/14/b06/b5b</w:t>
              </w:r>
            </w:hyperlink>
          </w:p>
        </w:tc>
      </w:tr>
    </w:tbl>
    <w:p w:rsidR="0017272F" w:rsidRDefault="0017272F">
      <w:pPr>
        <w:rPr>
          <w:rFonts w:cs="Arial"/>
        </w:rPr>
      </w:pPr>
    </w:p>
    <w:p w:rsid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Qualifications and Education</w:t>
      </w:r>
    </w:p>
    <w:p w:rsidR="0017272F" w:rsidRDefault="0017272F" w:rsidP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17272F" w:rsidTr="000829A6">
        <w:tc>
          <w:tcPr>
            <w:tcW w:w="3369" w:type="dxa"/>
          </w:tcPr>
          <w:p w:rsidR="0017272F" w:rsidRDefault="0017272F" w:rsidP="0017272F">
            <w:pPr>
              <w:rPr>
                <w:rFonts w:cs="Arial"/>
              </w:rPr>
            </w:pPr>
            <w:r>
              <w:rPr>
                <w:rFonts w:cs="Arial"/>
              </w:rPr>
              <w:t>Facility</w:t>
            </w:r>
          </w:p>
        </w:tc>
        <w:tc>
          <w:tcPr>
            <w:tcW w:w="6485" w:type="dxa"/>
          </w:tcPr>
          <w:p w:rsidR="0017272F" w:rsidRDefault="000829A6" w:rsidP="0007581F">
            <w:pPr>
              <w:rPr>
                <w:rFonts w:cs="Arial"/>
              </w:rPr>
            </w:pPr>
            <w:r>
              <w:rPr>
                <w:rFonts w:cs="Arial"/>
              </w:rPr>
              <w:t>Eastern Institute of Technology / Open Polytechnic of NZ</w:t>
            </w:r>
          </w:p>
        </w:tc>
      </w:tr>
      <w:tr w:rsidR="0017272F" w:rsidTr="000829A6">
        <w:tc>
          <w:tcPr>
            <w:tcW w:w="3369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1</w:t>
            </w:r>
          </w:p>
        </w:tc>
        <w:tc>
          <w:tcPr>
            <w:tcW w:w="6485" w:type="dxa"/>
          </w:tcPr>
          <w:p w:rsidR="0017272F" w:rsidRDefault="000829A6" w:rsidP="0007581F">
            <w:pPr>
              <w:rPr>
                <w:rFonts w:cs="Arial"/>
              </w:rPr>
            </w:pPr>
            <w:r>
              <w:rPr>
                <w:rFonts w:cs="Arial"/>
              </w:rPr>
              <w:t xml:space="preserve">National Diploma in Accounting </w:t>
            </w:r>
          </w:p>
        </w:tc>
      </w:tr>
      <w:tr w:rsidR="0017272F" w:rsidTr="000829A6">
        <w:tc>
          <w:tcPr>
            <w:tcW w:w="3369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Facility 2</w:t>
            </w:r>
          </w:p>
        </w:tc>
        <w:tc>
          <w:tcPr>
            <w:tcW w:w="6485" w:type="dxa"/>
          </w:tcPr>
          <w:p w:rsidR="0017272F" w:rsidRDefault="00596CE7" w:rsidP="0007581F">
            <w:pPr>
              <w:rPr>
                <w:rFonts w:cs="Arial"/>
              </w:rPr>
            </w:pPr>
            <w:r>
              <w:rPr>
                <w:rFonts w:cs="Arial"/>
              </w:rPr>
              <w:t>NZ Institute of Chartered Accountants</w:t>
            </w:r>
          </w:p>
        </w:tc>
      </w:tr>
      <w:tr w:rsidR="0017272F" w:rsidTr="000829A6">
        <w:tc>
          <w:tcPr>
            <w:tcW w:w="3369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2</w:t>
            </w:r>
          </w:p>
        </w:tc>
        <w:tc>
          <w:tcPr>
            <w:tcW w:w="6485" w:type="dxa"/>
          </w:tcPr>
          <w:p w:rsidR="0017272F" w:rsidRDefault="00C11F21" w:rsidP="0007581F">
            <w:pPr>
              <w:rPr>
                <w:rFonts w:cs="Arial"/>
              </w:rPr>
            </w:pPr>
            <w:r>
              <w:rPr>
                <w:rFonts w:cs="Arial"/>
              </w:rPr>
              <w:t>Chartered Accountant</w:t>
            </w:r>
          </w:p>
        </w:tc>
      </w:tr>
    </w:tbl>
    <w:p w:rsidR="0017272F" w:rsidRPr="0017272F" w:rsidRDefault="0017272F">
      <w:pPr>
        <w:rPr>
          <w:rFonts w:cs="Arial"/>
          <w:b/>
          <w:u w:val="single"/>
        </w:rPr>
      </w:pPr>
    </w:p>
    <w:sectPr w:rsidR="0017272F" w:rsidRPr="0017272F" w:rsidSect="00667663">
      <w:pgSz w:w="11906" w:h="16838" w:code="9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399C"/>
    <w:multiLevelType w:val="multilevel"/>
    <w:tmpl w:val="8AB8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068DB"/>
    <w:multiLevelType w:val="multilevel"/>
    <w:tmpl w:val="E67C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61"/>
    <w:rsid w:val="00032E93"/>
    <w:rsid w:val="000829A6"/>
    <w:rsid w:val="001208D7"/>
    <w:rsid w:val="00120ABD"/>
    <w:rsid w:val="00137F9E"/>
    <w:rsid w:val="0017272F"/>
    <w:rsid w:val="00192EF6"/>
    <w:rsid w:val="001D12EB"/>
    <w:rsid w:val="001D74E2"/>
    <w:rsid w:val="002059E0"/>
    <w:rsid w:val="002222B0"/>
    <w:rsid w:val="0023375D"/>
    <w:rsid w:val="00270681"/>
    <w:rsid w:val="00286837"/>
    <w:rsid w:val="003019DA"/>
    <w:rsid w:val="00334C5A"/>
    <w:rsid w:val="004875E8"/>
    <w:rsid w:val="00581FC3"/>
    <w:rsid w:val="00596CE7"/>
    <w:rsid w:val="005D2BA1"/>
    <w:rsid w:val="006109BE"/>
    <w:rsid w:val="00667663"/>
    <w:rsid w:val="006869E4"/>
    <w:rsid w:val="006B30A5"/>
    <w:rsid w:val="006D0451"/>
    <w:rsid w:val="00795449"/>
    <w:rsid w:val="007E43EC"/>
    <w:rsid w:val="00811FD3"/>
    <w:rsid w:val="0081480A"/>
    <w:rsid w:val="008751D0"/>
    <w:rsid w:val="00907CE4"/>
    <w:rsid w:val="0092200C"/>
    <w:rsid w:val="00972849"/>
    <w:rsid w:val="009755A8"/>
    <w:rsid w:val="009D1F81"/>
    <w:rsid w:val="009D3F2C"/>
    <w:rsid w:val="00AA6C1F"/>
    <w:rsid w:val="00AA719F"/>
    <w:rsid w:val="00AB4905"/>
    <w:rsid w:val="00AF23D9"/>
    <w:rsid w:val="00B045D2"/>
    <w:rsid w:val="00B0536C"/>
    <w:rsid w:val="00B37992"/>
    <w:rsid w:val="00BD7010"/>
    <w:rsid w:val="00C11F21"/>
    <w:rsid w:val="00C2019F"/>
    <w:rsid w:val="00C20761"/>
    <w:rsid w:val="00C877DA"/>
    <w:rsid w:val="00D834B1"/>
    <w:rsid w:val="00DA450A"/>
    <w:rsid w:val="00DD5843"/>
    <w:rsid w:val="00F22D9C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B30A5"/>
    <w:pPr>
      <w:spacing w:before="100" w:beforeAutospacing="1" w:after="100" w:afterAutospacing="1"/>
      <w:ind w:left="-15"/>
      <w:jc w:val="left"/>
      <w:outlineLvl w:val="2"/>
    </w:pPr>
    <w:rPr>
      <w:rFonts w:eastAsia="Times New Roman" w:cs="Arial"/>
      <w:b/>
      <w:bCs/>
      <w:color w:val="666666"/>
      <w:sz w:val="29"/>
      <w:szCs w:val="29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7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7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1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30A5"/>
    <w:rPr>
      <w:rFonts w:eastAsia="Times New Roman" w:cs="Arial"/>
      <w:b/>
      <w:bCs/>
      <w:color w:val="666666"/>
      <w:sz w:val="29"/>
      <w:szCs w:val="29"/>
    </w:rPr>
  </w:style>
  <w:style w:type="paragraph" w:styleId="ListParagraph">
    <w:name w:val="List Paragraph"/>
    <w:basedOn w:val="Normal"/>
    <w:uiPriority w:val="34"/>
    <w:qFormat/>
    <w:rsid w:val="0090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B30A5"/>
    <w:pPr>
      <w:spacing w:before="100" w:beforeAutospacing="1" w:after="100" w:afterAutospacing="1"/>
      <w:ind w:left="-15"/>
      <w:jc w:val="left"/>
      <w:outlineLvl w:val="2"/>
    </w:pPr>
    <w:rPr>
      <w:rFonts w:eastAsia="Times New Roman" w:cs="Arial"/>
      <w:b/>
      <w:bCs/>
      <w:color w:val="666666"/>
      <w:sz w:val="29"/>
      <w:szCs w:val="29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7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7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1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30A5"/>
    <w:rPr>
      <w:rFonts w:eastAsia="Times New Roman" w:cs="Arial"/>
      <w:b/>
      <w:bCs/>
      <w:color w:val="666666"/>
      <w:sz w:val="29"/>
      <w:szCs w:val="29"/>
    </w:rPr>
  </w:style>
  <w:style w:type="paragraph" w:styleId="ListParagraph">
    <w:name w:val="List Paragraph"/>
    <w:basedOn w:val="Normal"/>
    <w:uiPriority w:val="34"/>
    <w:qFormat/>
    <w:rsid w:val="0090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wehorwath.co.nz" TargetMode="External"/><Relationship Id="rId3" Type="http://schemas.openxmlformats.org/officeDocument/2006/relationships/styles" Target="styles.xml"/><Relationship Id="rId7" Type="http://schemas.openxmlformats.org/officeDocument/2006/relationships/hyperlink" Target="mailto:chris.guillemot@crowehorwath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z.linkedin.com/pub/chris-guillemot/14/b06/b5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4D75-8C7D-487B-992D-BD146899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Datacom Systems Victoria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McElroy</dc:creator>
  <cp:lastModifiedBy>Tracy McElroy</cp:lastModifiedBy>
  <cp:revision>3</cp:revision>
  <dcterms:created xsi:type="dcterms:W3CDTF">2015-06-04T21:50:00Z</dcterms:created>
  <dcterms:modified xsi:type="dcterms:W3CDTF">2015-06-04T21:51:00Z</dcterms:modified>
</cp:coreProperties>
</file>